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auto"/>
          <w:sz w:val="36"/>
          <w:szCs w:val="36"/>
        </w:rPr>
      </w:pPr>
      <w:r>
        <w:rPr>
          <w:rFonts w:hint="eastAsia" w:ascii="宋体" w:hAnsi="宋体"/>
          <w:b/>
          <w:bCs/>
          <w:color w:val="auto"/>
          <w:sz w:val="36"/>
          <w:szCs w:val="36"/>
        </w:rPr>
        <w:t>合同模板说明（本页看完请删除）</w:t>
      </w:r>
    </w:p>
    <w:p>
      <w:pPr>
        <w:pStyle w:val="2"/>
        <w:rPr>
          <w:color w:val="auto"/>
        </w:rPr>
      </w:pPr>
    </w:p>
    <w:p>
      <w:pPr>
        <w:spacing w:line="460" w:lineRule="exact"/>
        <w:rPr>
          <w:rFonts w:ascii="宋体" w:hAnsi="宋体" w:cs="宋体"/>
          <w:color w:val="auto"/>
          <w:sz w:val="28"/>
          <w:szCs w:val="28"/>
        </w:rPr>
      </w:pPr>
      <w:r>
        <w:rPr>
          <w:rFonts w:hint="eastAsia"/>
          <w:color w:val="auto"/>
          <w:sz w:val="28"/>
          <w:szCs w:val="28"/>
        </w:rPr>
        <w:t>1.</w:t>
      </w:r>
      <w:r>
        <w:rPr>
          <w:rFonts w:hint="eastAsia" w:ascii="宋体" w:hAnsi="宋体"/>
          <w:color w:val="auto"/>
          <w:sz w:val="28"/>
          <w:szCs w:val="28"/>
        </w:rPr>
        <w:t>合同</w:t>
      </w:r>
      <w:r>
        <w:rPr>
          <w:rFonts w:hint="eastAsia" w:ascii="宋体" w:hAnsi="宋体"/>
          <w:b/>
          <w:bCs/>
          <w:color w:val="auto"/>
          <w:sz w:val="28"/>
          <w:szCs w:val="28"/>
        </w:rPr>
        <w:t>黑色字体</w:t>
      </w:r>
      <w:r>
        <w:rPr>
          <w:rFonts w:hint="eastAsia" w:ascii="宋体" w:hAnsi="宋体"/>
          <w:color w:val="auto"/>
          <w:sz w:val="28"/>
          <w:szCs w:val="28"/>
        </w:rPr>
        <w:t>部分不可修改，全部保留（</w:t>
      </w:r>
      <w:r>
        <w:rPr>
          <w:rFonts w:ascii="宋体" w:hAnsi="宋体"/>
          <w:color w:val="auto"/>
          <w:sz w:val="28"/>
          <w:szCs w:val="28"/>
        </w:rPr>
        <w:t>采购合同编号</w:t>
      </w:r>
      <w:r>
        <w:rPr>
          <w:rFonts w:ascii="宋体" w:hAnsi="宋体"/>
          <w:b/>
          <w:bCs/>
          <w:color w:val="auto"/>
          <w:sz w:val="28"/>
          <w:szCs w:val="28"/>
        </w:rPr>
        <w:t>由</w:t>
      </w:r>
      <w:r>
        <w:rPr>
          <w:rFonts w:hint="eastAsia" w:ascii="宋体" w:hAnsi="宋体"/>
          <w:b/>
          <w:bCs/>
          <w:color w:val="auto"/>
          <w:sz w:val="28"/>
          <w:szCs w:val="28"/>
        </w:rPr>
        <w:t>系统生成或根据项目编号</w:t>
      </w:r>
      <w:r>
        <w:rPr>
          <w:rFonts w:ascii="宋体" w:hAnsi="宋体"/>
          <w:b/>
          <w:bCs/>
          <w:color w:val="auto"/>
          <w:sz w:val="28"/>
          <w:szCs w:val="28"/>
        </w:rPr>
        <w:t>填写</w:t>
      </w:r>
      <w:r>
        <w:rPr>
          <w:rFonts w:hint="eastAsia" w:ascii="宋体" w:hAnsi="宋体"/>
          <w:color w:val="auto"/>
          <w:sz w:val="28"/>
          <w:szCs w:val="28"/>
        </w:rPr>
        <w:t>）。</w:t>
      </w:r>
      <w:r>
        <w:rPr>
          <w:rFonts w:hint="eastAsia" w:ascii="宋体" w:hAnsi="宋体"/>
          <w:color w:val="auto"/>
          <w:sz w:val="28"/>
          <w:szCs w:val="28"/>
          <w:highlight w:val="yellow"/>
        </w:rPr>
        <w:t>标黄部分</w:t>
      </w:r>
      <w:r>
        <w:rPr>
          <w:rFonts w:hint="eastAsia" w:ascii="宋体" w:hAnsi="宋体"/>
          <w:color w:val="auto"/>
          <w:sz w:val="28"/>
          <w:szCs w:val="28"/>
        </w:rPr>
        <w:t>根据项目实际填写，如不涉及可填写“/”</w:t>
      </w:r>
      <w:r>
        <w:rPr>
          <w:rFonts w:hint="eastAsia" w:ascii="宋体" w:hAnsi="宋体" w:cs="宋体"/>
          <w:color w:val="auto"/>
          <w:sz w:val="28"/>
          <w:szCs w:val="28"/>
        </w:rPr>
        <w:t>。</w:t>
      </w:r>
    </w:p>
    <w:p>
      <w:pPr>
        <w:spacing w:line="460" w:lineRule="exact"/>
        <w:rPr>
          <w:rFonts w:ascii="宋体" w:hAnsi="宋体" w:cs="宋体"/>
          <w:color w:val="auto"/>
          <w:sz w:val="28"/>
          <w:szCs w:val="28"/>
        </w:rPr>
      </w:pPr>
      <w:r>
        <w:rPr>
          <w:rFonts w:hint="eastAsia" w:ascii="宋体" w:hAnsi="宋体" w:cs="宋体"/>
          <w:color w:val="auto"/>
          <w:sz w:val="28"/>
          <w:szCs w:val="28"/>
        </w:rPr>
        <w:t>2.</w:t>
      </w:r>
      <w:r>
        <w:rPr>
          <w:rFonts w:hint="eastAsia" w:ascii="宋体" w:hAnsi="宋体" w:cs="宋体"/>
          <w:b/>
          <w:color w:val="auto"/>
          <w:sz w:val="28"/>
          <w:szCs w:val="28"/>
        </w:rPr>
        <w:t>合同文件</w:t>
      </w:r>
      <w:r>
        <w:rPr>
          <w:rFonts w:hint="eastAsia" w:ascii="宋体" w:hAnsi="宋体" w:cs="宋体"/>
          <w:color w:val="auto"/>
          <w:sz w:val="28"/>
          <w:szCs w:val="28"/>
        </w:rPr>
        <w:t>内容若为单位自行采购项目和网络平台采购项目,可根据项目实际修改。</w:t>
      </w:r>
    </w:p>
    <w:p>
      <w:pPr>
        <w:spacing w:line="360" w:lineRule="auto"/>
        <w:rPr>
          <w:color w:val="auto"/>
          <w:sz w:val="28"/>
          <w:szCs w:val="28"/>
        </w:rPr>
      </w:pPr>
      <w:r>
        <w:rPr>
          <w:rFonts w:hint="eastAsia"/>
          <w:color w:val="auto"/>
          <w:sz w:val="28"/>
          <w:szCs w:val="28"/>
        </w:rPr>
        <w:t>3.</w:t>
      </w:r>
      <w:r>
        <w:rPr>
          <w:rFonts w:hint="eastAsia" w:ascii="宋体" w:hAnsi="宋体"/>
          <w:color w:val="auto"/>
          <w:sz w:val="28"/>
          <w:szCs w:val="28"/>
        </w:rPr>
        <w:t>合同</w:t>
      </w:r>
      <w:r>
        <w:rPr>
          <w:rFonts w:hint="eastAsia" w:ascii="宋体" w:hAnsi="宋体"/>
          <w:b/>
          <w:bCs/>
          <w:color w:val="auto"/>
          <w:sz w:val="28"/>
          <w:szCs w:val="28"/>
        </w:rPr>
        <w:t>拟定后</w:t>
      </w:r>
      <w:r>
        <w:rPr>
          <w:rFonts w:hint="eastAsia" w:ascii="宋体" w:hAnsi="宋体"/>
          <w:color w:val="auto"/>
          <w:sz w:val="28"/>
          <w:szCs w:val="28"/>
        </w:rPr>
        <w:t>首先把电子档发至采购人审阅中标价、质保年限、服务内容等是否符合要求。</w:t>
      </w:r>
    </w:p>
    <w:p>
      <w:pPr>
        <w:spacing w:line="360" w:lineRule="auto"/>
        <w:rPr>
          <w:rFonts w:ascii="宋体" w:hAnsi="宋体"/>
          <w:color w:val="auto"/>
          <w:sz w:val="28"/>
          <w:szCs w:val="28"/>
        </w:rPr>
      </w:pPr>
      <w:r>
        <w:rPr>
          <w:rFonts w:hint="eastAsia"/>
          <w:color w:val="auto"/>
          <w:sz w:val="28"/>
          <w:szCs w:val="28"/>
        </w:rPr>
        <w:t>4.</w:t>
      </w:r>
      <w:r>
        <w:rPr>
          <w:rFonts w:hint="eastAsia" w:ascii="宋体" w:hAnsi="宋体"/>
          <w:color w:val="auto"/>
          <w:sz w:val="28"/>
          <w:szCs w:val="28"/>
        </w:rPr>
        <w:t>合同经线上审批或采购人审阅合格后，乙方</w:t>
      </w:r>
      <w:r>
        <w:rPr>
          <w:rFonts w:hint="eastAsia" w:ascii="宋体" w:hAnsi="宋体"/>
          <w:b/>
          <w:bCs/>
          <w:color w:val="auto"/>
          <w:sz w:val="28"/>
          <w:szCs w:val="28"/>
        </w:rPr>
        <w:t>打印合同</w:t>
      </w:r>
      <w:r>
        <w:rPr>
          <w:rFonts w:hint="eastAsia"/>
          <w:color w:val="auto"/>
          <w:sz w:val="28"/>
          <w:szCs w:val="28"/>
        </w:rPr>
        <w:t>(</w:t>
      </w:r>
      <w:r>
        <w:rPr>
          <w:rFonts w:hint="eastAsia" w:ascii="宋体" w:hAnsi="宋体"/>
          <w:color w:val="auto"/>
          <w:sz w:val="28"/>
          <w:szCs w:val="28"/>
        </w:rPr>
        <w:t>含封面</w:t>
      </w:r>
      <w:r>
        <w:rPr>
          <w:rFonts w:hint="eastAsia"/>
          <w:color w:val="auto"/>
          <w:sz w:val="28"/>
          <w:szCs w:val="28"/>
        </w:rPr>
        <w:t>)</w:t>
      </w:r>
      <w:r>
        <w:rPr>
          <w:rFonts w:hint="eastAsia" w:ascii="宋体" w:hAnsi="宋体"/>
          <w:color w:val="auto"/>
          <w:sz w:val="28"/>
          <w:szCs w:val="28"/>
        </w:rPr>
        <w:t>一式</w:t>
      </w:r>
      <w:r>
        <w:rPr>
          <w:rFonts w:hint="eastAsia"/>
          <w:color w:val="auto"/>
          <w:sz w:val="28"/>
          <w:szCs w:val="28"/>
        </w:rPr>
        <w:t xml:space="preserve"> 6</w:t>
      </w:r>
      <w:r>
        <w:rPr>
          <w:rFonts w:hint="eastAsia" w:ascii="宋体" w:hAnsi="宋体"/>
          <w:color w:val="auto"/>
          <w:sz w:val="28"/>
          <w:szCs w:val="28"/>
        </w:rPr>
        <w:t>份，每份合同均需要在乙方盖章处盖公章（或合同专用章）并同时盖</w:t>
      </w:r>
      <w:r>
        <w:rPr>
          <w:rFonts w:hint="eastAsia" w:ascii="宋体" w:hAnsi="宋体"/>
          <w:b/>
          <w:bCs/>
          <w:color w:val="auto"/>
          <w:sz w:val="28"/>
          <w:szCs w:val="28"/>
        </w:rPr>
        <w:t>骑缝章</w:t>
      </w:r>
      <w:r>
        <w:rPr>
          <w:rFonts w:hint="eastAsia" w:ascii="宋体" w:hAnsi="宋体"/>
          <w:color w:val="auto"/>
          <w:sz w:val="28"/>
          <w:szCs w:val="28"/>
        </w:rPr>
        <w:t>，乙方</w:t>
      </w:r>
      <w:r>
        <w:rPr>
          <w:rFonts w:ascii="宋体" w:hAnsi="宋体"/>
          <w:color w:val="auto"/>
          <w:sz w:val="28"/>
          <w:szCs w:val="28"/>
        </w:rPr>
        <w:t>法定代表人</w:t>
      </w:r>
      <w:r>
        <w:rPr>
          <w:rFonts w:hint="eastAsia" w:ascii="宋体" w:hAnsi="宋体"/>
          <w:color w:val="auto"/>
          <w:sz w:val="28"/>
          <w:szCs w:val="28"/>
        </w:rPr>
        <w:t>或授权委托人（若为授权委托人需附授权委托书）签字。</w:t>
      </w:r>
    </w:p>
    <w:p>
      <w:pPr>
        <w:spacing w:line="360" w:lineRule="auto"/>
        <w:rPr>
          <w:rFonts w:ascii="宋体" w:hAnsi="宋体"/>
          <w:color w:val="auto"/>
          <w:sz w:val="28"/>
          <w:szCs w:val="28"/>
        </w:rPr>
      </w:pPr>
      <w:r>
        <w:rPr>
          <w:rFonts w:hint="eastAsia" w:ascii="宋体" w:hAnsi="宋体"/>
          <w:color w:val="auto"/>
          <w:sz w:val="28"/>
          <w:szCs w:val="28"/>
        </w:rPr>
        <w:t>5.</w:t>
      </w:r>
      <w:bookmarkStart w:id="0" w:name="OLE_LINK3"/>
      <w:r>
        <w:rPr>
          <w:rFonts w:hint="eastAsia" w:ascii="宋体" w:hAnsi="宋体"/>
          <w:color w:val="auto"/>
          <w:sz w:val="28"/>
          <w:szCs w:val="28"/>
        </w:rPr>
        <w:t>乙方将</w:t>
      </w:r>
      <w:bookmarkEnd w:id="0"/>
      <w:r>
        <w:rPr>
          <w:rFonts w:hint="eastAsia" w:ascii="宋体" w:hAnsi="宋体"/>
          <w:b/>
          <w:bCs/>
          <w:color w:val="auto"/>
          <w:sz w:val="28"/>
          <w:szCs w:val="28"/>
        </w:rPr>
        <w:t>签字盖章后</w:t>
      </w:r>
      <w:r>
        <w:rPr>
          <w:rFonts w:hint="eastAsia" w:ascii="宋体" w:hAnsi="宋体"/>
          <w:color w:val="auto"/>
          <w:sz w:val="28"/>
          <w:szCs w:val="28"/>
        </w:rPr>
        <w:t>的合同先交</w:t>
      </w:r>
      <w:r>
        <w:rPr>
          <w:rFonts w:hint="eastAsia" w:ascii="宋体" w:hAnsi="宋体"/>
          <w:b/>
          <w:bCs/>
          <w:color w:val="auto"/>
          <w:sz w:val="28"/>
          <w:szCs w:val="28"/>
        </w:rPr>
        <w:t>甲方</w:t>
      </w:r>
      <w:r>
        <w:rPr>
          <w:rFonts w:hint="eastAsia" w:ascii="宋体" w:hAnsi="宋体"/>
          <w:color w:val="auto"/>
          <w:sz w:val="28"/>
          <w:szCs w:val="28"/>
        </w:rPr>
        <w:t>由</w:t>
      </w:r>
      <w:bookmarkStart w:id="1" w:name="OLE_LINK6"/>
      <w:bookmarkEnd w:id="1"/>
      <w:r>
        <w:rPr>
          <w:rFonts w:hint="eastAsia" w:ascii="宋体" w:hAnsi="宋体"/>
          <w:color w:val="auto"/>
          <w:sz w:val="28"/>
          <w:szCs w:val="28"/>
        </w:rPr>
        <w:t>项目单位的项目负责人在合同落款项目负责人处签字,具体负责参数的采购老师在参数旁空白处签字；政府采购货物、服务类项目合同由学校法定代表人授权资产管理处主要负责人签署，工程类项目授权后勤保障处主要负责人签署；非政府采购项目合同由法定代表人授权采购单位负责人签署。授权代表签署后统一加盖“内蒙古大学合同专用章”。学校集中采购项目合同须报资产管理处备案。</w:t>
      </w:r>
    </w:p>
    <w:p>
      <w:pPr>
        <w:pStyle w:val="2"/>
        <w:rPr>
          <w:rFonts w:ascii="宋体" w:hAnsi="宋体"/>
          <w:color w:val="auto"/>
          <w:sz w:val="28"/>
          <w:szCs w:val="28"/>
        </w:rPr>
      </w:pPr>
      <w:r>
        <w:rPr>
          <w:rFonts w:hint="eastAsia" w:ascii="宋体" w:hAnsi="宋体"/>
          <w:color w:val="auto"/>
          <w:sz w:val="28"/>
          <w:szCs w:val="28"/>
        </w:rPr>
        <w:t>6.此模板适用于国家、上级主管部门等无固定模板或无特殊要求的服务类采购项目，对于有固定模板或出版等乙方要求必须使用其制式模板的采购项目，从其规定。</w:t>
      </w:r>
    </w:p>
    <w:p>
      <w:pPr>
        <w:spacing w:line="360" w:lineRule="auto"/>
        <w:jc w:val="left"/>
        <w:rPr>
          <w:color w:val="auto"/>
          <w:sz w:val="28"/>
          <w:szCs w:val="28"/>
        </w:rPr>
      </w:pPr>
    </w:p>
    <w:p>
      <w:pPr>
        <w:widowControl/>
        <w:jc w:val="left"/>
        <w:rPr>
          <w:rFonts w:eastAsia="仿宋_GB2312"/>
          <w:b/>
          <w:color w:val="auto"/>
          <w:sz w:val="28"/>
          <w:szCs w:val="28"/>
        </w:rPr>
      </w:pPr>
    </w:p>
    <w:p>
      <w:pPr>
        <w:spacing w:line="520" w:lineRule="exact"/>
        <w:rPr>
          <w:rFonts w:eastAsia="仿宋_GB2312"/>
          <w:b/>
          <w:color w:val="auto"/>
          <w:sz w:val="30"/>
          <w:szCs w:val="30"/>
        </w:rPr>
      </w:pPr>
    </w:p>
    <w:p>
      <w:pPr>
        <w:jc w:val="center"/>
        <w:rPr>
          <w:rFonts w:ascii="黑体" w:hAnsi="黑体" w:eastAsia="黑体" w:cs="黑体"/>
          <w:color w:val="auto"/>
          <w:sz w:val="52"/>
          <w:szCs w:val="52"/>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jc w:val="center"/>
        <w:rPr>
          <w:rFonts w:ascii="黑体" w:hAnsi="黑体" w:eastAsia="黑体" w:cs="黑体"/>
          <w:color w:val="auto"/>
          <w:sz w:val="52"/>
          <w:szCs w:val="52"/>
        </w:rPr>
      </w:pPr>
      <w:r>
        <w:rPr>
          <w:rFonts w:hint="eastAsia" w:ascii="黑体" w:hAnsi="黑体" w:eastAsia="黑体" w:cs="黑体"/>
          <w:color w:val="auto"/>
          <w:sz w:val="52"/>
          <w:szCs w:val="52"/>
        </w:rPr>
        <w:t>内蒙古大学服务采购合同</w:t>
      </w:r>
    </w:p>
    <w:p>
      <w:pPr>
        <w:spacing w:line="500" w:lineRule="exact"/>
        <w:ind w:firstLine="880" w:firstLineChars="200"/>
        <w:rPr>
          <w:rFonts w:ascii="宋体" w:hAnsi="宋体" w:cs="宋体"/>
          <w:color w:val="auto"/>
          <w:sz w:val="44"/>
          <w:szCs w:val="44"/>
        </w:rPr>
      </w:pPr>
    </w:p>
    <w:p>
      <w:pPr>
        <w:spacing w:line="500" w:lineRule="exact"/>
        <w:ind w:firstLine="880" w:firstLineChars="200"/>
        <w:rPr>
          <w:rFonts w:ascii="宋体" w:hAnsi="宋体" w:cs="宋体"/>
          <w:color w:val="auto"/>
          <w:sz w:val="44"/>
          <w:szCs w:val="44"/>
        </w:rPr>
      </w:pPr>
    </w:p>
    <w:p>
      <w:pPr>
        <w:spacing w:line="500" w:lineRule="exact"/>
        <w:ind w:firstLine="880" w:firstLineChars="200"/>
        <w:rPr>
          <w:rFonts w:ascii="宋体" w:hAnsi="宋体" w:cs="宋体"/>
          <w:color w:val="auto"/>
          <w:sz w:val="44"/>
          <w:szCs w:val="44"/>
        </w:rPr>
      </w:pPr>
    </w:p>
    <w:p>
      <w:pPr>
        <w:spacing w:line="500" w:lineRule="exact"/>
        <w:ind w:firstLine="880" w:firstLineChars="200"/>
        <w:rPr>
          <w:rFonts w:ascii="宋体" w:hAnsi="宋体" w:cs="宋体"/>
          <w:color w:val="auto"/>
          <w:sz w:val="44"/>
          <w:szCs w:val="44"/>
        </w:rPr>
      </w:pPr>
    </w:p>
    <w:p>
      <w:pPr>
        <w:spacing w:line="500" w:lineRule="exact"/>
        <w:ind w:firstLine="880" w:firstLineChars="200"/>
        <w:rPr>
          <w:rFonts w:ascii="宋体" w:hAnsi="宋体" w:cs="宋体"/>
          <w:color w:val="auto"/>
          <w:sz w:val="44"/>
          <w:szCs w:val="44"/>
        </w:rPr>
      </w:pPr>
    </w:p>
    <w:p>
      <w:pPr>
        <w:spacing w:line="500" w:lineRule="exact"/>
        <w:ind w:firstLine="1506" w:firstLineChars="500"/>
        <w:rPr>
          <w:rFonts w:ascii="宋体" w:hAnsi="宋体" w:cs="宋体"/>
          <w:b/>
          <w:color w:val="auto"/>
          <w:sz w:val="30"/>
          <w:szCs w:val="30"/>
          <w:highlight w:val="yellow"/>
        </w:rPr>
      </w:pPr>
      <w:r>
        <w:rPr>
          <w:rFonts w:hint="eastAsia" w:ascii="宋体" w:hAnsi="宋体" w:cs="宋体"/>
          <w:b/>
          <w:color w:val="auto"/>
          <w:sz w:val="30"/>
          <w:szCs w:val="30"/>
          <w:highlight w:val="yellow"/>
        </w:rPr>
        <w:t>项目名称：</w:t>
      </w:r>
    </w:p>
    <w:p>
      <w:pPr>
        <w:spacing w:line="500" w:lineRule="exact"/>
        <w:ind w:firstLine="1506" w:firstLineChars="500"/>
        <w:rPr>
          <w:rFonts w:ascii="宋体" w:hAnsi="宋体" w:cs="宋体"/>
          <w:b/>
          <w:color w:val="auto"/>
          <w:sz w:val="30"/>
          <w:szCs w:val="30"/>
          <w:highlight w:val="yellow"/>
        </w:rPr>
      </w:pPr>
      <w:r>
        <w:rPr>
          <w:rFonts w:hint="eastAsia" w:ascii="宋体" w:hAnsi="宋体" w:cs="宋体"/>
          <w:b/>
          <w:color w:val="auto"/>
          <w:sz w:val="30"/>
          <w:szCs w:val="30"/>
          <w:highlight w:val="yellow"/>
        </w:rPr>
        <w:t>项目编号：</w:t>
      </w:r>
    </w:p>
    <w:p>
      <w:pPr>
        <w:spacing w:line="500" w:lineRule="exact"/>
        <w:ind w:firstLine="1506" w:firstLineChars="500"/>
        <w:rPr>
          <w:rFonts w:ascii="宋体" w:hAnsi="宋体" w:cs="宋体"/>
          <w:b/>
          <w:color w:val="auto"/>
          <w:sz w:val="30"/>
          <w:szCs w:val="30"/>
          <w:highlight w:val="yellow"/>
        </w:rPr>
      </w:pPr>
      <w:r>
        <w:rPr>
          <w:rFonts w:hint="eastAsia" w:ascii="宋体" w:hAnsi="宋体" w:cs="宋体"/>
          <w:b/>
          <w:color w:val="auto"/>
          <w:sz w:val="30"/>
          <w:szCs w:val="30"/>
          <w:highlight w:val="yellow"/>
        </w:rPr>
        <w:t>合同内容：</w:t>
      </w:r>
      <w:r>
        <w:rPr>
          <w:rFonts w:ascii="宋体" w:hAnsi="宋体" w:cs="宋体"/>
          <w:b/>
          <w:color w:val="auto"/>
          <w:sz w:val="30"/>
          <w:szCs w:val="30"/>
          <w:highlight w:val="yellow"/>
        </w:rPr>
        <w:t xml:space="preserve"> </w:t>
      </w:r>
    </w:p>
    <w:p>
      <w:pPr>
        <w:spacing w:line="500" w:lineRule="exact"/>
        <w:ind w:firstLine="1506" w:firstLineChars="500"/>
        <w:rPr>
          <w:rFonts w:ascii="宋体" w:hAnsi="宋体" w:cs="宋体"/>
          <w:b/>
          <w:color w:val="auto"/>
          <w:sz w:val="30"/>
          <w:szCs w:val="30"/>
          <w:highlight w:val="yellow"/>
        </w:rPr>
      </w:pPr>
      <w:r>
        <w:rPr>
          <w:rFonts w:hint="eastAsia" w:ascii="宋体" w:hAnsi="宋体" w:cs="宋体"/>
          <w:b/>
          <w:color w:val="auto"/>
          <w:sz w:val="30"/>
          <w:szCs w:val="30"/>
          <w:highlight w:val="yellow"/>
        </w:rPr>
        <w:t>合同编号：</w:t>
      </w:r>
    </w:p>
    <w:p>
      <w:pPr>
        <w:pStyle w:val="7"/>
        <w:ind w:firstLine="1509" w:firstLineChars="501"/>
        <w:rPr>
          <w:rFonts w:ascii="宋体" w:hAnsi="宋体" w:cs="宋体"/>
          <w:b/>
          <w:bCs w:val="0"/>
          <w:color w:val="auto"/>
          <w:sz w:val="30"/>
          <w:szCs w:val="30"/>
          <w:highlight w:val="yellow"/>
        </w:rPr>
      </w:pPr>
      <w:r>
        <w:rPr>
          <w:rFonts w:hint="eastAsia" w:ascii="宋体" w:hAnsi="宋体" w:cs="宋体"/>
          <w:b/>
          <w:bCs w:val="0"/>
          <w:color w:val="auto"/>
          <w:sz w:val="30"/>
          <w:szCs w:val="30"/>
          <w:highlight w:val="yellow"/>
        </w:rPr>
        <w:t>批准文件编号：</w:t>
      </w:r>
      <w:r>
        <w:rPr>
          <w:rFonts w:ascii="宋体" w:hAnsi="宋体" w:cs="宋体"/>
          <w:b/>
          <w:bCs w:val="0"/>
          <w:color w:val="auto"/>
          <w:sz w:val="30"/>
          <w:szCs w:val="30"/>
          <w:highlight w:val="yellow"/>
        </w:rPr>
        <w:t xml:space="preserve"> </w:t>
      </w:r>
    </w:p>
    <w:p>
      <w:pPr>
        <w:spacing w:line="500" w:lineRule="exact"/>
        <w:ind w:firstLine="1506" w:firstLineChars="500"/>
        <w:rPr>
          <w:rFonts w:ascii="宋体" w:hAnsi="宋体" w:cs="宋体"/>
          <w:b/>
          <w:color w:val="auto"/>
          <w:sz w:val="30"/>
          <w:szCs w:val="30"/>
        </w:rPr>
      </w:pPr>
      <w:r>
        <w:rPr>
          <w:rFonts w:hint="eastAsia" w:ascii="宋体" w:hAnsi="宋体" w:cs="宋体"/>
          <w:b/>
          <w:color w:val="auto"/>
          <w:sz w:val="30"/>
          <w:szCs w:val="30"/>
          <w:highlight w:val="yellow"/>
        </w:rPr>
        <w:t>供 应 商：</w:t>
      </w:r>
      <w:r>
        <w:rPr>
          <w:rFonts w:ascii="宋体" w:hAnsi="宋体" w:cs="宋体"/>
          <w:b/>
          <w:color w:val="auto"/>
          <w:sz w:val="30"/>
          <w:szCs w:val="30"/>
        </w:rPr>
        <w:t xml:space="preserve"> </w:t>
      </w:r>
    </w:p>
    <w:p>
      <w:pPr>
        <w:spacing w:line="500" w:lineRule="exact"/>
        <w:ind w:firstLine="602" w:firstLineChars="200"/>
        <w:rPr>
          <w:rFonts w:ascii="宋体" w:hAnsi="宋体" w:cs="宋体"/>
          <w:b/>
          <w:color w:val="auto"/>
          <w:sz w:val="30"/>
          <w:szCs w:val="30"/>
        </w:rPr>
      </w:pPr>
    </w:p>
    <w:p>
      <w:pPr>
        <w:spacing w:line="500" w:lineRule="exact"/>
        <w:ind w:firstLine="602" w:firstLineChars="200"/>
        <w:rPr>
          <w:rFonts w:ascii="宋体" w:hAnsi="宋体" w:cs="宋体"/>
          <w:b/>
          <w:color w:val="auto"/>
          <w:sz w:val="30"/>
          <w:szCs w:val="30"/>
        </w:rPr>
      </w:pPr>
    </w:p>
    <w:p>
      <w:pPr>
        <w:spacing w:line="500" w:lineRule="exact"/>
        <w:rPr>
          <w:rFonts w:ascii="宋体" w:hAnsi="宋体" w:cs="宋体"/>
          <w:b/>
          <w:color w:val="auto"/>
          <w:sz w:val="30"/>
          <w:szCs w:val="30"/>
        </w:rPr>
      </w:pPr>
    </w:p>
    <w:p>
      <w:pPr>
        <w:spacing w:line="500" w:lineRule="exact"/>
        <w:ind w:firstLine="602" w:firstLineChars="200"/>
        <w:rPr>
          <w:rFonts w:ascii="宋体" w:hAnsi="宋体" w:cs="宋体"/>
          <w:b/>
          <w:color w:val="auto"/>
          <w:sz w:val="30"/>
          <w:szCs w:val="30"/>
        </w:rPr>
      </w:pPr>
    </w:p>
    <w:p>
      <w:pPr>
        <w:spacing w:line="480" w:lineRule="exact"/>
        <w:jc w:val="center"/>
        <w:rPr>
          <w:rFonts w:ascii="仿宋_GB2312" w:eastAsia="仿宋_GB2312"/>
          <w:b/>
          <w:color w:val="auto"/>
          <w:sz w:val="52"/>
          <w:szCs w:val="52"/>
        </w:rPr>
      </w:pPr>
      <w:r>
        <w:rPr>
          <w:rFonts w:hint="eastAsia" w:ascii="宋体" w:hAnsi="宋体" w:cs="宋体"/>
          <w:b/>
          <w:color w:val="auto"/>
          <w:sz w:val="30"/>
          <w:szCs w:val="30"/>
          <w:highlight w:val="yellow"/>
        </w:rPr>
        <w:t>二○    年    月</w:t>
      </w:r>
    </w:p>
    <w:p>
      <w:pPr>
        <w:spacing w:line="360" w:lineRule="auto"/>
        <w:ind w:firstLine="600" w:firstLineChars="200"/>
        <w:jc w:val="center"/>
        <w:rPr>
          <w:rFonts w:cs="宋体" w:asciiTheme="minorEastAsia" w:hAnsiTheme="minorEastAsia" w:eastAsiaTheme="minorEastAsia"/>
          <w:b/>
          <w:color w:val="auto"/>
          <w:sz w:val="24"/>
        </w:rPr>
      </w:pPr>
      <w:r>
        <w:rPr>
          <w:rFonts w:ascii="黑体" w:hAnsi="宋体" w:eastAsia="黑体"/>
          <w:color w:val="auto"/>
          <w:sz w:val="30"/>
          <w:szCs w:val="30"/>
        </w:rPr>
        <w:br w:type="page"/>
      </w:r>
      <w:r>
        <w:rPr>
          <w:rFonts w:hint="eastAsia" w:cs="宋体" w:asciiTheme="minorEastAsia" w:hAnsiTheme="minorEastAsia" w:eastAsiaTheme="minorEastAsia"/>
          <w:b/>
          <w:color w:val="auto"/>
          <w:sz w:val="24"/>
        </w:rPr>
        <w:t>采购合同</w:t>
      </w:r>
    </w:p>
    <w:p>
      <w:pPr>
        <w:pStyle w:val="2"/>
        <w:spacing w:after="0" w:line="360" w:lineRule="auto"/>
        <w:ind w:firstLine="200"/>
        <w:rPr>
          <w:rFonts w:asciiTheme="minorEastAsia" w:hAnsiTheme="minorEastAsia" w:eastAsiaTheme="minorEastAsia"/>
          <w:color w:val="auto"/>
          <w:sz w:val="24"/>
        </w:rPr>
      </w:pPr>
    </w:p>
    <w:p>
      <w:pPr>
        <w:pStyle w:val="10"/>
        <w:spacing w:line="360" w:lineRule="auto"/>
        <w:ind w:firstLine="480" w:firstLineChars="200"/>
        <w:rPr>
          <w:rFonts w:cs="宋体" w:asciiTheme="minorEastAsia" w:hAnsiTheme="minorEastAsia" w:eastAsiaTheme="minorEastAsia"/>
          <w:color w:val="auto"/>
          <w:sz w:val="24"/>
          <w:szCs w:val="24"/>
          <w:highlight w:val="yellow"/>
        </w:rPr>
      </w:pPr>
      <w:r>
        <w:rPr>
          <w:rFonts w:hint="eastAsia" w:cs="宋体" w:asciiTheme="minorEastAsia" w:hAnsiTheme="minorEastAsia" w:eastAsiaTheme="minorEastAsia"/>
          <w:color w:val="auto"/>
          <w:sz w:val="24"/>
          <w:szCs w:val="24"/>
          <w:highlight w:val="yellow"/>
        </w:rPr>
        <w:t xml:space="preserve">项目名称： </w:t>
      </w:r>
    </w:p>
    <w:p>
      <w:pPr>
        <w:pStyle w:val="10"/>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highlight w:val="yellow"/>
        </w:rPr>
        <w:t>合同编号：</w:t>
      </w:r>
      <w:r>
        <w:rPr>
          <w:rFonts w:hint="eastAsia" w:cs="宋体" w:asciiTheme="minorEastAsia" w:hAnsiTheme="minorEastAsia" w:eastAsiaTheme="minorEastAsia"/>
          <w:color w:val="auto"/>
          <w:sz w:val="24"/>
          <w:szCs w:val="24"/>
        </w:rPr>
        <w:t xml:space="preserve"> </w:t>
      </w:r>
    </w:p>
    <w:p>
      <w:pPr>
        <w:pStyle w:val="10"/>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采购人（甲方）：内蒙古大学</w:t>
      </w:r>
    </w:p>
    <w:p>
      <w:pPr>
        <w:pStyle w:val="10"/>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highlight w:val="yellow"/>
        </w:rPr>
        <w:t>供应商（乙方）：</w:t>
      </w:r>
      <w:r>
        <w:rPr>
          <w:rFonts w:hint="eastAsia" w:cs="宋体" w:asciiTheme="minorEastAsia" w:hAnsiTheme="minorEastAsia" w:eastAsiaTheme="minorEastAsia"/>
          <w:color w:val="auto"/>
          <w:sz w:val="24"/>
          <w:szCs w:val="24"/>
        </w:rPr>
        <w:t xml:space="preserve"> </w:t>
      </w:r>
    </w:p>
    <w:p>
      <w:pPr>
        <w:pStyle w:val="10"/>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合同签订地点：呼和浩特市赛罕区大学西路235号</w:t>
      </w:r>
    </w:p>
    <w:p>
      <w:pPr>
        <w:pStyle w:val="10"/>
        <w:spacing w:line="360" w:lineRule="auto"/>
        <w:ind w:firstLine="480" w:firstLineChars="200"/>
        <w:rPr>
          <w:rFonts w:cs="宋体" w:asciiTheme="minorEastAsia" w:hAnsiTheme="minorEastAsia" w:eastAsiaTheme="minorEastAsia"/>
          <w:color w:val="auto"/>
          <w:sz w:val="24"/>
          <w:szCs w:val="24"/>
        </w:rPr>
      </w:pP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为保护供需双方合法权益，根据《中华人民共和国政府采购法》、《中华人民共和国民法典》等相关法律法规的规定并严格遵循招标文件（项目编号：</w:t>
      </w:r>
      <w:r>
        <w:rPr>
          <w:rFonts w:hint="eastAsia" w:cs="宋体" w:asciiTheme="minorEastAsia" w:hAnsiTheme="minorEastAsia" w:eastAsiaTheme="minorEastAsia"/>
          <w:color w:val="auto"/>
          <w:sz w:val="24"/>
          <w:highlight w:val="yellow"/>
        </w:rPr>
        <w:t>[             ]</w:t>
      </w:r>
      <w:r>
        <w:rPr>
          <w:rFonts w:hint="eastAsia" w:cs="宋体" w:asciiTheme="minorEastAsia" w:hAnsiTheme="minorEastAsia" w:eastAsiaTheme="minorEastAsia"/>
          <w:color w:val="auto"/>
          <w:sz w:val="24"/>
        </w:rPr>
        <w:t>）中相关规定，经甲乙双方协商，本着平等互利和诚实信用的原则，双方一致同意，签订本合同，并共同遵守。</w:t>
      </w:r>
    </w:p>
    <w:p>
      <w:pPr>
        <w:spacing w:line="360" w:lineRule="auto"/>
        <w:ind w:firstLine="482" w:firstLineChars="200"/>
        <w:rPr>
          <w:rFonts w:cs="宋体" w:asciiTheme="minorEastAsia" w:hAnsiTheme="minorEastAsia" w:eastAsiaTheme="minorEastAsia"/>
          <w:b/>
          <w:color w:val="auto"/>
          <w:sz w:val="24"/>
        </w:rPr>
      </w:pPr>
      <w:bookmarkStart w:id="2" w:name="_Toc414743939"/>
      <w:r>
        <w:rPr>
          <w:rFonts w:hint="eastAsia" w:cs="宋体" w:asciiTheme="minorEastAsia" w:hAnsiTheme="minorEastAsia" w:eastAsiaTheme="minorEastAsia"/>
          <w:b/>
          <w:color w:val="auto"/>
          <w:sz w:val="24"/>
        </w:rPr>
        <w:t>一、合同文件</w:t>
      </w:r>
      <w:bookmarkEnd w:id="2"/>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本合同所附下列文件资料为本合同不可分割的部分：</w:t>
      </w:r>
    </w:p>
    <w:p>
      <w:pPr>
        <w:spacing w:line="360" w:lineRule="auto"/>
        <w:ind w:firstLine="480" w:firstLineChars="200"/>
        <w:rPr>
          <w:rFonts w:cs="宋体" w:asciiTheme="minorEastAsia" w:hAnsiTheme="minorEastAsia" w:eastAsiaTheme="minorEastAsia"/>
          <w:color w:val="auto"/>
          <w:sz w:val="24"/>
          <w:highlight w:val="yellow"/>
        </w:rPr>
      </w:pPr>
      <w:bookmarkStart w:id="3" w:name="_Toc414743940"/>
      <w:r>
        <w:rPr>
          <w:rFonts w:hint="eastAsia" w:cs="宋体" w:asciiTheme="minorEastAsia" w:hAnsiTheme="minorEastAsia" w:eastAsiaTheme="minorEastAsia"/>
          <w:color w:val="auto"/>
          <w:sz w:val="24"/>
          <w:highlight w:val="yellow"/>
        </w:rPr>
        <w:t>（一）采购文件（含补充通知）</w:t>
      </w:r>
    </w:p>
    <w:p>
      <w:pPr>
        <w:spacing w:line="360" w:lineRule="auto"/>
        <w:ind w:firstLine="480" w:firstLineChars="200"/>
        <w:rPr>
          <w:rFonts w:cs="宋体" w:asciiTheme="minorEastAsia" w:hAnsiTheme="minorEastAsia" w:eastAsiaTheme="minorEastAsia"/>
          <w:color w:val="auto"/>
          <w:sz w:val="24"/>
          <w:highlight w:val="yellow"/>
        </w:rPr>
      </w:pPr>
      <w:r>
        <w:rPr>
          <w:rFonts w:hint="eastAsia" w:cs="宋体" w:asciiTheme="minorEastAsia" w:hAnsiTheme="minorEastAsia" w:eastAsiaTheme="minorEastAsia"/>
          <w:color w:val="auto"/>
          <w:sz w:val="24"/>
          <w:highlight w:val="yellow"/>
        </w:rPr>
        <w:t>（二）响应文件（含澄清、承诺文件）</w:t>
      </w:r>
    </w:p>
    <w:p>
      <w:pPr>
        <w:spacing w:line="360" w:lineRule="auto"/>
        <w:ind w:firstLine="480" w:firstLineChars="200"/>
        <w:rPr>
          <w:rFonts w:cs="宋体" w:asciiTheme="minorEastAsia" w:hAnsiTheme="minorEastAsia" w:eastAsiaTheme="minorEastAsia"/>
          <w:color w:val="auto"/>
          <w:sz w:val="24"/>
          <w:highlight w:val="yellow"/>
        </w:rPr>
      </w:pPr>
      <w:r>
        <w:rPr>
          <w:rFonts w:hint="eastAsia" w:cs="宋体" w:asciiTheme="minorEastAsia" w:hAnsiTheme="minorEastAsia" w:eastAsiaTheme="minorEastAsia"/>
          <w:color w:val="auto"/>
          <w:sz w:val="24"/>
          <w:highlight w:val="yellow"/>
        </w:rPr>
        <w:t>（三）最终报价表及承诺</w:t>
      </w:r>
    </w:p>
    <w:p>
      <w:pPr>
        <w:spacing w:line="360" w:lineRule="auto"/>
        <w:ind w:firstLine="480" w:firstLineChars="200"/>
        <w:rPr>
          <w:rFonts w:cs="宋体" w:asciiTheme="minorEastAsia" w:hAnsiTheme="minorEastAsia" w:eastAsiaTheme="minorEastAsia"/>
          <w:color w:val="auto"/>
          <w:sz w:val="24"/>
          <w:highlight w:val="yellow"/>
        </w:rPr>
      </w:pPr>
      <w:r>
        <w:rPr>
          <w:rFonts w:hint="eastAsia" w:cs="宋体" w:asciiTheme="minorEastAsia" w:hAnsiTheme="minorEastAsia" w:eastAsiaTheme="minorEastAsia"/>
          <w:color w:val="auto"/>
          <w:sz w:val="24"/>
          <w:highlight w:val="yellow"/>
        </w:rPr>
        <w:t>（四）中标（成交）通知书</w:t>
      </w:r>
    </w:p>
    <w:p>
      <w:pPr>
        <w:spacing w:line="360" w:lineRule="auto"/>
        <w:ind w:firstLine="480" w:firstLineChars="200"/>
        <w:rPr>
          <w:rFonts w:cs="宋体" w:asciiTheme="minorEastAsia" w:hAnsiTheme="minorEastAsia" w:eastAsiaTheme="minorEastAsia"/>
          <w:color w:val="auto"/>
          <w:sz w:val="24"/>
          <w:highlight w:val="yellow"/>
        </w:rPr>
      </w:pPr>
      <w:r>
        <w:rPr>
          <w:rFonts w:hint="eastAsia" w:cs="宋体" w:asciiTheme="minorEastAsia" w:hAnsiTheme="minorEastAsia" w:eastAsiaTheme="minorEastAsia"/>
          <w:color w:val="auto"/>
          <w:sz w:val="24"/>
          <w:highlight w:val="yellow"/>
        </w:rPr>
        <w:t>（五）在执行本合同的过程中，所有经双方签署确认的文件（包括会议纪要、补充协议、往来信函）</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highlight w:val="yellow"/>
        </w:rPr>
        <w:t>（六）协议</w:t>
      </w:r>
    </w:p>
    <w:p>
      <w:pPr>
        <w:spacing w:line="360" w:lineRule="auto"/>
        <w:ind w:firstLine="482"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二、合同范围和条件</w:t>
      </w:r>
      <w:bookmarkEnd w:id="3"/>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本合同的范围和条件应与上述合同文件的规定相一致。</w:t>
      </w:r>
    </w:p>
    <w:p>
      <w:pPr>
        <w:spacing w:line="360" w:lineRule="auto"/>
        <w:ind w:firstLine="482" w:firstLineChars="200"/>
        <w:rPr>
          <w:rFonts w:cs="宋体" w:asciiTheme="minorEastAsia" w:hAnsiTheme="minorEastAsia" w:eastAsiaTheme="minorEastAsia"/>
          <w:b/>
          <w:color w:val="auto"/>
          <w:sz w:val="24"/>
          <w:highlight w:val="yellow"/>
        </w:rPr>
      </w:pPr>
      <w:bookmarkStart w:id="4" w:name="_Toc414743941"/>
      <w:r>
        <w:rPr>
          <w:rFonts w:hint="eastAsia" w:cs="宋体" w:asciiTheme="minorEastAsia" w:hAnsiTheme="minorEastAsia" w:eastAsiaTheme="minorEastAsia"/>
          <w:b/>
          <w:color w:val="auto"/>
          <w:sz w:val="24"/>
          <w:highlight w:val="yellow"/>
        </w:rPr>
        <w:t>三、采购服务信息</w:t>
      </w:r>
      <w:bookmarkEnd w:id="4"/>
    </w:p>
    <w:tbl>
      <w:tblPr>
        <w:tblStyle w:val="15"/>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609"/>
        <w:gridCol w:w="3591"/>
        <w:gridCol w:w="1245"/>
        <w:gridCol w:w="1033"/>
        <w:gridCol w:w="93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 w:hRule="atLeast"/>
          <w:jc w:val="center"/>
        </w:trPr>
        <w:tc>
          <w:tcPr>
            <w:tcW w:w="1184" w:type="dxa"/>
            <w:tcMar>
              <w:left w:w="0" w:type="dxa"/>
              <w:right w:w="0" w:type="dxa"/>
            </w:tcMar>
            <w:vAlign w:val="center"/>
          </w:tcPr>
          <w:p>
            <w:pPr>
              <w:snapToGrid w:val="0"/>
              <w:spacing w:line="360" w:lineRule="auto"/>
              <w:ind w:firstLine="200"/>
              <w:jc w:val="center"/>
              <w:rPr>
                <w:rFonts w:asciiTheme="minorEastAsia" w:hAnsiTheme="minorEastAsia" w:eastAsiaTheme="minorEastAsia"/>
                <w:b/>
                <w:color w:val="auto"/>
                <w:sz w:val="24"/>
                <w:highlight w:val="yellow"/>
              </w:rPr>
            </w:pPr>
            <w:r>
              <w:rPr>
                <w:rFonts w:hint="eastAsia" w:asciiTheme="minorEastAsia" w:hAnsiTheme="minorEastAsia" w:eastAsiaTheme="minorEastAsia"/>
                <w:b/>
                <w:color w:val="auto"/>
                <w:sz w:val="24"/>
                <w:highlight w:val="yellow"/>
              </w:rPr>
              <w:t>编</w:t>
            </w:r>
            <w:r>
              <w:rPr>
                <w:rFonts w:asciiTheme="minorEastAsia" w:hAnsiTheme="minorEastAsia" w:eastAsiaTheme="minorEastAsia"/>
                <w:b/>
                <w:color w:val="auto"/>
                <w:sz w:val="24"/>
                <w:highlight w:val="yellow"/>
              </w:rPr>
              <w:t>号</w:t>
            </w:r>
          </w:p>
        </w:tc>
        <w:tc>
          <w:tcPr>
            <w:tcW w:w="1609" w:type="dxa"/>
            <w:vAlign w:val="center"/>
          </w:tcPr>
          <w:p>
            <w:pPr>
              <w:snapToGrid w:val="0"/>
              <w:spacing w:line="360" w:lineRule="auto"/>
              <w:ind w:firstLine="200"/>
              <w:jc w:val="center"/>
              <w:rPr>
                <w:rFonts w:asciiTheme="minorEastAsia" w:hAnsiTheme="minorEastAsia" w:eastAsiaTheme="minorEastAsia"/>
                <w:b/>
                <w:color w:val="auto"/>
                <w:sz w:val="24"/>
                <w:highlight w:val="yellow"/>
              </w:rPr>
            </w:pPr>
            <w:r>
              <w:rPr>
                <w:rFonts w:hint="eastAsia" w:asciiTheme="minorEastAsia" w:hAnsiTheme="minorEastAsia" w:eastAsiaTheme="minorEastAsia"/>
                <w:b/>
                <w:color w:val="auto"/>
                <w:sz w:val="24"/>
                <w:highlight w:val="yellow"/>
              </w:rPr>
              <w:t>服务</w:t>
            </w:r>
            <w:r>
              <w:rPr>
                <w:rFonts w:asciiTheme="minorEastAsia" w:hAnsiTheme="minorEastAsia" w:eastAsiaTheme="minorEastAsia"/>
                <w:b/>
                <w:color w:val="auto"/>
                <w:sz w:val="24"/>
                <w:highlight w:val="yellow"/>
              </w:rPr>
              <w:t>名称</w:t>
            </w:r>
          </w:p>
        </w:tc>
        <w:tc>
          <w:tcPr>
            <w:tcW w:w="3591" w:type="dxa"/>
            <w:vAlign w:val="center"/>
          </w:tcPr>
          <w:p>
            <w:pPr>
              <w:snapToGrid w:val="0"/>
              <w:spacing w:line="360" w:lineRule="auto"/>
              <w:ind w:firstLine="200"/>
              <w:jc w:val="center"/>
              <w:rPr>
                <w:rFonts w:asciiTheme="minorEastAsia" w:hAnsiTheme="minorEastAsia" w:eastAsiaTheme="minorEastAsia"/>
                <w:b/>
                <w:color w:val="auto"/>
                <w:sz w:val="24"/>
                <w:highlight w:val="yellow"/>
              </w:rPr>
            </w:pPr>
            <w:r>
              <w:rPr>
                <w:rFonts w:hint="eastAsia" w:asciiTheme="minorEastAsia" w:hAnsiTheme="minorEastAsia" w:eastAsiaTheme="minorEastAsia"/>
                <w:b/>
                <w:color w:val="auto"/>
                <w:sz w:val="24"/>
                <w:highlight w:val="yellow"/>
              </w:rPr>
              <w:t>服务内容</w:t>
            </w:r>
          </w:p>
        </w:tc>
        <w:tc>
          <w:tcPr>
            <w:tcW w:w="1245" w:type="dxa"/>
            <w:vAlign w:val="center"/>
          </w:tcPr>
          <w:p>
            <w:pPr>
              <w:snapToGrid w:val="0"/>
              <w:spacing w:line="360" w:lineRule="auto"/>
              <w:ind w:firstLine="200"/>
              <w:jc w:val="center"/>
              <w:rPr>
                <w:rFonts w:asciiTheme="minorEastAsia" w:hAnsiTheme="minorEastAsia" w:eastAsiaTheme="minorEastAsia"/>
                <w:b/>
                <w:color w:val="auto"/>
                <w:sz w:val="24"/>
                <w:highlight w:val="yellow"/>
              </w:rPr>
            </w:pPr>
            <w:r>
              <w:rPr>
                <w:rFonts w:asciiTheme="minorEastAsia" w:hAnsiTheme="minorEastAsia" w:eastAsiaTheme="minorEastAsia"/>
                <w:b/>
                <w:color w:val="auto"/>
                <w:sz w:val="24"/>
                <w:highlight w:val="yellow"/>
              </w:rPr>
              <w:t>数量</w:t>
            </w:r>
          </w:p>
        </w:tc>
        <w:tc>
          <w:tcPr>
            <w:tcW w:w="1033" w:type="dxa"/>
            <w:vAlign w:val="center"/>
          </w:tcPr>
          <w:p>
            <w:pPr>
              <w:snapToGrid w:val="0"/>
              <w:spacing w:line="360" w:lineRule="auto"/>
              <w:ind w:firstLine="200"/>
              <w:jc w:val="center"/>
              <w:rPr>
                <w:rFonts w:asciiTheme="minorEastAsia" w:hAnsiTheme="minorEastAsia" w:eastAsiaTheme="minorEastAsia"/>
                <w:b/>
                <w:color w:val="auto"/>
                <w:sz w:val="24"/>
                <w:highlight w:val="yellow"/>
              </w:rPr>
            </w:pPr>
            <w:r>
              <w:rPr>
                <w:rFonts w:asciiTheme="minorEastAsia" w:hAnsiTheme="minorEastAsia" w:eastAsiaTheme="minorEastAsia"/>
                <w:b/>
                <w:color w:val="auto"/>
                <w:sz w:val="24"/>
                <w:highlight w:val="yellow"/>
              </w:rPr>
              <w:t>单价</w:t>
            </w:r>
            <w:r>
              <w:rPr>
                <w:rFonts w:hint="eastAsia" w:asciiTheme="minorEastAsia" w:hAnsiTheme="minorEastAsia" w:eastAsiaTheme="minorEastAsia"/>
                <w:b/>
                <w:color w:val="auto"/>
                <w:sz w:val="24"/>
                <w:highlight w:val="yellow"/>
              </w:rPr>
              <w:t>（元）</w:t>
            </w:r>
          </w:p>
        </w:tc>
        <w:tc>
          <w:tcPr>
            <w:tcW w:w="934" w:type="dxa"/>
            <w:vAlign w:val="center"/>
          </w:tcPr>
          <w:p>
            <w:pPr>
              <w:snapToGrid w:val="0"/>
              <w:spacing w:line="360" w:lineRule="auto"/>
              <w:ind w:firstLine="200"/>
              <w:jc w:val="center"/>
              <w:rPr>
                <w:rFonts w:asciiTheme="minorEastAsia" w:hAnsiTheme="minorEastAsia" w:eastAsiaTheme="minorEastAsia"/>
                <w:b/>
                <w:color w:val="auto"/>
                <w:sz w:val="24"/>
                <w:highlight w:val="yellow"/>
              </w:rPr>
            </w:pPr>
            <w:r>
              <w:rPr>
                <w:rFonts w:asciiTheme="minorEastAsia" w:hAnsiTheme="minorEastAsia" w:eastAsiaTheme="minorEastAsia"/>
                <w:b/>
                <w:color w:val="auto"/>
                <w:sz w:val="24"/>
                <w:highlight w:val="yellow"/>
              </w:rPr>
              <w:t>合计</w:t>
            </w:r>
            <w:r>
              <w:rPr>
                <w:rFonts w:hint="eastAsia" w:asciiTheme="minorEastAsia" w:hAnsiTheme="minorEastAsia" w:eastAsiaTheme="minorEastAsia"/>
                <w:b/>
                <w:color w:val="auto"/>
                <w:sz w:val="24"/>
                <w:highlight w:val="yellow"/>
              </w:rPr>
              <w:t>（元）</w:t>
            </w:r>
          </w:p>
        </w:tc>
        <w:tc>
          <w:tcPr>
            <w:tcW w:w="839" w:type="dxa"/>
            <w:vAlign w:val="center"/>
          </w:tcPr>
          <w:p>
            <w:pPr>
              <w:snapToGrid w:val="0"/>
              <w:spacing w:line="360" w:lineRule="auto"/>
              <w:ind w:firstLine="200"/>
              <w:jc w:val="center"/>
              <w:rPr>
                <w:rFonts w:asciiTheme="minorEastAsia" w:hAnsiTheme="minorEastAsia" w:eastAsiaTheme="minorEastAsia"/>
                <w:b/>
                <w:color w:val="auto"/>
                <w:sz w:val="24"/>
                <w:highlight w:val="yellow"/>
              </w:rPr>
            </w:pPr>
            <w:r>
              <w:rPr>
                <w:rFonts w:hint="eastAsia" w:asciiTheme="minorEastAsia" w:hAnsiTheme="minorEastAsia" w:eastAsiaTheme="minorEastAsia"/>
                <w:b/>
                <w:color w:val="auto"/>
                <w:sz w:val="24"/>
                <w:highlight w:val="yellow"/>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184" w:type="dxa"/>
            <w:tcMar>
              <w:left w:w="0" w:type="dxa"/>
              <w:right w:w="0" w:type="dxa"/>
            </w:tcMar>
            <w:vAlign w:val="center"/>
          </w:tcPr>
          <w:p>
            <w:pPr>
              <w:snapToGrid w:val="0"/>
              <w:spacing w:line="360" w:lineRule="auto"/>
              <w:ind w:firstLine="200"/>
              <w:jc w:val="center"/>
              <w:rPr>
                <w:rFonts w:asciiTheme="minorEastAsia" w:hAnsiTheme="minorEastAsia" w:eastAsiaTheme="minorEastAsia"/>
                <w:color w:val="auto"/>
                <w:sz w:val="24"/>
                <w:highlight w:val="yellow"/>
              </w:rPr>
            </w:pPr>
            <w:r>
              <w:rPr>
                <w:rFonts w:asciiTheme="minorEastAsia" w:hAnsiTheme="minorEastAsia" w:eastAsiaTheme="minorEastAsia"/>
                <w:color w:val="auto"/>
                <w:sz w:val="24"/>
                <w:highlight w:val="yellow"/>
              </w:rPr>
              <w:t>1</w:t>
            </w:r>
          </w:p>
        </w:tc>
        <w:tc>
          <w:tcPr>
            <w:tcW w:w="1609" w:type="dxa"/>
            <w:vAlign w:val="center"/>
          </w:tcPr>
          <w:p>
            <w:pPr>
              <w:snapToGrid w:val="0"/>
              <w:spacing w:line="360" w:lineRule="auto"/>
              <w:ind w:firstLine="200"/>
              <w:jc w:val="left"/>
              <w:rPr>
                <w:rFonts w:asciiTheme="minorEastAsia" w:hAnsiTheme="minorEastAsia" w:eastAsiaTheme="minorEastAsia"/>
                <w:color w:val="auto"/>
                <w:sz w:val="24"/>
                <w:highlight w:val="yellow"/>
              </w:rPr>
            </w:pPr>
          </w:p>
        </w:tc>
        <w:tc>
          <w:tcPr>
            <w:tcW w:w="3591" w:type="dxa"/>
            <w:vAlign w:val="center"/>
          </w:tcPr>
          <w:p>
            <w:pPr>
              <w:tabs>
                <w:tab w:val="left" w:pos="720"/>
              </w:tabs>
              <w:snapToGrid w:val="0"/>
              <w:spacing w:line="360" w:lineRule="auto"/>
              <w:ind w:firstLine="200"/>
              <w:rPr>
                <w:rFonts w:hint="eastAsia" w:asciiTheme="minorEastAsia" w:hAnsiTheme="minorEastAsia" w:eastAsiaTheme="minorEastAsia"/>
                <w:color w:val="auto"/>
                <w:sz w:val="24"/>
                <w:highlight w:val="yellow"/>
                <w:lang w:eastAsia="zh-CN"/>
              </w:rPr>
            </w:pPr>
            <w:r>
              <w:rPr>
                <w:rFonts w:hint="eastAsia" w:asciiTheme="minorEastAsia" w:hAnsiTheme="minorEastAsia" w:eastAsiaTheme="minorEastAsia"/>
                <w:color w:val="auto"/>
                <w:sz w:val="24"/>
                <w:highlight w:val="yellow"/>
                <w:lang w:eastAsia="zh-CN"/>
              </w:rPr>
              <w:t>详见投标（响应文件）</w:t>
            </w:r>
          </w:p>
        </w:tc>
        <w:tc>
          <w:tcPr>
            <w:tcW w:w="1245" w:type="dxa"/>
            <w:vAlign w:val="center"/>
          </w:tcPr>
          <w:p>
            <w:pPr>
              <w:snapToGrid w:val="0"/>
              <w:spacing w:line="360" w:lineRule="auto"/>
              <w:ind w:firstLine="200"/>
              <w:jc w:val="center"/>
              <w:rPr>
                <w:rFonts w:asciiTheme="minorEastAsia" w:hAnsiTheme="minorEastAsia" w:eastAsiaTheme="minorEastAsia"/>
                <w:color w:val="auto"/>
                <w:sz w:val="24"/>
                <w:highlight w:val="yellow"/>
              </w:rPr>
            </w:pPr>
          </w:p>
        </w:tc>
        <w:tc>
          <w:tcPr>
            <w:tcW w:w="1033" w:type="dxa"/>
            <w:vAlign w:val="center"/>
          </w:tcPr>
          <w:p>
            <w:pPr>
              <w:snapToGrid w:val="0"/>
              <w:spacing w:line="360" w:lineRule="auto"/>
              <w:ind w:firstLine="200"/>
              <w:jc w:val="center"/>
              <w:rPr>
                <w:rFonts w:asciiTheme="minorEastAsia" w:hAnsiTheme="minorEastAsia" w:eastAsiaTheme="minorEastAsia"/>
                <w:color w:val="auto"/>
                <w:sz w:val="24"/>
                <w:highlight w:val="yellow"/>
              </w:rPr>
            </w:pPr>
          </w:p>
        </w:tc>
        <w:tc>
          <w:tcPr>
            <w:tcW w:w="934" w:type="dxa"/>
            <w:vAlign w:val="center"/>
          </w:tcPr>
          <w:p>
            <w:pPr>
              <w:snapToGrid w:val="0"/>
              <w:spacing w:line="360" w:lineRule="auto"/>
              <w:ind w:firstLine="200"/>
              <w:jc w:val="center"/>
              <w:rPr>
                <w:rFonts w:asciiTheme="minorEastAsia" w:hAnsiTheme="minorEastAsia" w:eastAsiaTheme="minorEastAsia"/>
                <w:color w:val="auto"/>
                <w:sz w:val="24"/>
                <w:highlight w:val="yellow"/>
              </w:rPr>
            </w:pPr>
          </w:p>
        </w:tc>
        <w:tc>
          <w:tcPr>
            <w:tcW w:w="839" w:type="dxa"/>
            <w:vAlign w:val="center"/>
          </w:tcPr>
          <w:p>
            <w:pPr>
              <w:snapToGrid w:val="0"/>
              <w:spacing w:line="360" w:lineRule="auto"/>
              <w:ind w:firstLine="200"/>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35" w:type="dxa"/>
            <w:gridSpan w:val="7"/>
            <w:tcMar>
              <w:left w:w="0" w:type="dxa"/>
              <w:right w:w="0" w:type="dxa"/>
            </w:tcMar>
            <w:vAlign w:val="center"/>
          </w:tcPr>
          <w:p>
            <w:pPr>
              <w:snapToGrid w:val="0"/>
              <w:spacing w:line="360" w:lineRule="auto"/>
              <w:ind w:firstLine="200"/>
              <w:jc w:val="center"/>
              <w:rPr>
                <w:rFonts w:asciiTheme="minorEastAsia" w:hAnsiTheme="minorEastAsia" w:eastAsiaTheme="minorEastAsia"/>
                <w:color w:val="auto"/>
                <w:sz w:val="24"/>
              </w:rPr>
            </w:pPr>
            <w:r>
              <w:rPr>
                <w:rFonts w:hint="eastAsia" w:cs="宋体" w:asciiTheme="minorEastAsia" w:hAnsiTheme="minorEastAsia" w:eastAsiaTheme="minorEastAsia"/>
                <w:color w:val="auto"/>
                <w:sz w:val="24"/>
              </w:rPr>
              <w:t>总价:人民币</w:t>
            </w:r>
            <w:r>
              <w:rPr>
                <w:rFonts w:hint="eastAsia" w:cs="宋体" w:asciiTheme="minorEastAsia" w:hAnsiTheme="minorEastAsia" w:eastAsiaTheme="minorEastAsia"/>
                <w:b/>
                <w:color w:val="auto"/>
                <w:sz w:val="24"/>
                <w:highlight w:val="yellow"/>
              </w:rPr>
              <w:t>大写:</w:t>
            </w:r>
            <w:r>
              <w:rPr>
                <w:rFonts w:hint="eastAsia" w:cs="宋体" w:asciiTheme="minorEastAsia" w:hAnsiTheme="minorEastAsia" w:eastAsiaTheme="minorEastAsia"/>
                <w:b/>
                <w:color w:val="auto"/>
                <w:sz w:val="24"/>
                <w:highlight w:val="yellow"/>
                <w:u w:val="single"/>
              </w:rPr>
              <w:t xml:space="preserve">                  </w:t>
            </w:r>
            <w:r>
              <w:rPr>
                <w:rFonts w:hint="eastAsia" w:cs="宋体" w:asciiTheme="minorEastAsia" w:hAnsiTheme="minorEastAsia" w:eastAsiaTheme="minorEastAsia"/>
                <w:b/>
                <w:color w:val="auto"/>
                <w:sz w:val="24"/>
                <w:highlight w:val="yellow"/>
              </w:rPr>
              <w:t>；小写：</w:t>
            </w:r>
            <w:r>
              <w:rPr>
                <w:rFonts w:hint="eastAsia" w:cs="宋体" w:asciiTheme="minorEastAsia" w:hAnsiTheme="minorEastAsia" w:eastAsiaTheme="minorEastAsia"/>
                <w:b/>
                <w:color w:val="auto"/>
                <w:sz w:val="24"/>
                <w:highlight w:val="yellow"/>
                <w:u w:val="single"/>
              </w:rPr>
              <w:t xml:space="preserve">               </w:t>
            </w:r>
            <w:r>
              <w:rPr>
                <w:rFonts w:hint="eastAsia" w:cs="宋体" w:asciiTheme="minorEastAsia" w:hAnsiTheme="minorEastAsia" w:eastAsiaTheme="minorEastAsia"/>
                <w:bCs/>
                <w:color w:val="auto"/>
                <w:sz w:val="24"/>
                <w:highlight w:val="yellow"/>
              </w:rPr>
              <w:t>，</w:t>
            </w:r>
          </w:p>
        </w:tc>
      </w:tr>
    </w:tbl>
    <w:p>
      <w:pPr>
        <w:spacing w:line="360" w:lineRule="auto"/>
        <w:ind w:firstLine="482" w:firstLineChars="200"/>
        <w:rPr>
          <w:rFonts w:cs="宋体" w:asciiTheme="minorEastAsia" w:hAnsiTheme="minorEastAsia" w:eastAsiaTheme="minorEastAsia"/>
          <w:b/>
          <w:color w:val="auto"/>
          <w:sz w:val="24"/>
        </w:rPr>
      </w:pPr>
      <w:bookmarkStart w:id="5" w:name="_Toc414743942"/>
      <w:r>
        <w:rPr>
          <w:rFonts w:hint="eastAsia" w:cs="宋体" w:asciiTheme="minorEastAsia" w:hAnsiTheme="minorEastAsia" w:eastAsiaTheme="minorEastAsia"/>
          <w:b/>
          <w:color w:val="auto"/>
          <w:sz w:val="24"/>
        </w:rPr>
        <w:t>四、合同金额</w:t>
      </w:r>
      <w:bookmarkEnd w:id="5"/>
    </w:p>
    <w:p>
      <w:pPr>
        <w:spacing w:line="360" w:lineRule="auto"/>
        <w:ind w:firstLine="480" w:firstLineChars="200"/>
        <w:rPr>
          <w:rFonts w:cs="宋体" w:asciiTheme="minorEastAsia" w:hAnsiTheme="minorEastAsia" w:eastAsiaTheme="minorEastAsia"/>
          <w:bCs/>
          <w:color w:val="auto"/>
          <w:sz w:val="24"/>
        </w:rPr>
      </w:pPr>
      <w:bookmarkStart w:id="6" w:name="_Toc414743943"/>
      <w:r>
        <w:rPr>
          <w:rFonts w:hint="eastAsia" w:cs="宋体" w:asciiTheme="minorEastAsia" w:hAnsiTheme="minorEastAsia" w:eastAsiaTheme="minorEastAsia"/>
          <w:color w:val="auto"/>
          <w:sz w:val="24"/>
        </w:rPr>
        <w:t>根据中标（成交）通知书中规定，合同的总金额为人民币</w:t>
      </w:r>
      <w:r>
        <w:rPr>
          <w:rFonts w:hint="eastAsia" w:cs="宋体" w:asciiTheme="minorEastAsia" w:hAnsiTheme="minorEastAsia" w:eastAsiaTheme="minorEastAsia"/>
          <w:b/>
          <w:color w:val="auto"/>
          <w:sz w:val="24"/>
          <w:highlight w:val="yellow"/>
        </w:rPr>
        <w:t>大写:</w:t>
      </w:r>
      <w:r>
        <w:rPr>
          <w:rFonts w:hint="eastAsia" w:cs="宋体" w:asciiTheme="minorEastAsia" w:hAnsiTheme="minorEastAsia" w:eastAsiaTheme="minorEastAsia"/>
          <w:b/>
          <w:color w:val="auto"/>
          <w:sz w:val="24"/>
          <w:highlight w:val="yellow"/>
          <w:u w:val="single"/>
        </w:rPr>
        <w:t xml:space="preserve">                  </w:t>
      </w:r>
      <w:r>
        <w:rPr>
          <w:rFonts w:hint="eastAsia" w:cs="宋体" w:asciiTheme="minorEastAsia" w:hAnsiTheme="minorEastAsia" w:eastAsiaTheme="minorEastAsia"/>
          <w:b/>
          <w:color w:val="auto"/>
          <w:sz w:val="24"/>
          <w:highlight w:val="yellow"/>
        </w:rPr>
        <w:t>；小写：</w:t>
      </w:r>
      <w:r>
        <w:rPr>
          <w:rFonts w:hint="eastAsia" w:cs="宋体" w:asciiTheme="minorEastAsia" w:hAnsiTheme="minorEastAsia" w:eastAsiaTheme="minorEastAsia"/>
          <w:b/>
          <w:color w:val="auto"/>
          <w:sz w:val="24"/>
          <w:highlight w:val="yellow"/>
          <w:u w:val="single"/>
        </w:rPr>
        <w:t xml:space="preserve">               </w:t>
      </w:r>
      <w:r>
        <w:rPr>
          <w:rFonts w:hint="eastAsia" w:cs="宋体" w:asciiTheme="minorEastAsia" w:hAnsiTheme="minorEastAsia" w:eastAsiaTheme="minorEastAsia"/>
          <w:bCs/>
          <w:color w:val="auto"/>
          <w:sz w:val="24"/>
          <w:highlight w:val="yellow"/>
        </w:rPr>
        <w:t>，</w:t>
      </w:r>
      <w:r>
        <w:rPr>
          <w:rFonts w:hint="eastAsia" w:cs="宋体" w:asciiTheme="minorEastAsia" w:hAnsiTheme="minorEastAsia" w:eastAsiaTheme="minorEastAsia"/>
          <w:bCs/>
          <w:color w:val="auto"/>
          <w:sz w:val="24"/>
        </w:rPr>
        <w:t>此价款已包括乙方提供本合同约定的全部服务、税费等与本合同相关的一切费用，除乙方不能如约履行合同义务做相应扣减外，结算时不予调整。甲方须向乙方支付的全部款项。除此价款外，甲方无须向乙方支付任何款项。</w:t>
      </w:r>
    </w:p>
    <w:p>
      <w:pPr>
        <w:spacing w:line="360" w:lineRule="auto"/>
        <w:ind w:firstLine="482"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五、服务时间</w:t>
      </w:r>
      <w:bookmarkEnd w:id="6"/>
      <w:r>
        <w:rPr>
          <w:rFonts w:hint="eastAsia" w:cs="宋体" w:asciiTheme="minorEastAsia" w:hAnsiTheme="minorEastAsia" w:eastAsiaTheme="minorEastAsia"/>
          <w:b/>
          <w:color w:val="auto"/>
          <w:sz w:val="24"/>
        </w:rPr>
        <w:t>和地点</w:t>
      </w:r>
    </w:p>
    <w:p>
      <w:pPr>
        <w:pStyle w:val="10"/>
        <w:spacing w:line="360" w:lineRule="auto"/>
        <w:ind w:firstLine="480" w:firstLineChars="200"/>
        <w:rPr>
          <w:rFonts w:cs="宋体" w:asciiTheme="minorEastAsia" w:hAnsiTheme="minorEastAsia" w:eastAsiaTheme="minorEastAsia"/>
          <w:color w:val="auto"/>
          <w:sz w:val="24"/>
          <w:szCs w:val="24"/>
          <w:highlight w:val="yellow"/>
        </w:rPr>
      </w:pPr>
      <w:bookmarkStart w:id="7" w:name="_Toc414743944"/>
      <w:r>
        <w:rPr>
          <w:rFonts w:hint="eastAsia" w:cs="宋体" w:asciiTheme="minorEastAsia" w:hAnsiTheme="minorEastAsia" w:eastAsiaTheme="minorEastAsia"/>
          <w:color w:val="auto"/>
          <w:sz w:val="24"/>
          <w:szCs w:val="24"/>
          <w:highlight w:val="yellow"/>
        </w:rPr>
        <w:t>本合同服务期限为：</w:t>
      </w:r>
    </w:p>
    <w:p>
      <w:pPr>
        <w:pStyle w:val="10"/>
        <w:spacing w:line="360" w:lineRule="auto"/>
        <w:ind w:firstLine="480" w:firstLineChars="200"/>
        <w:rPr>
          <w:rFonts w:cs="宋体" w:asciiTheme="minorEastAsia" w:hAnsiTheme="minorEastAsia" w:eastAsiaTheme="minorEastAsia"/>
          <w:color w:val="auto"/>
          <w:sz w:val="24"/>
          <w:szCs w:val="24"/>
          <w:shd w:val="clear" w:color="auto" w:fill="FFFFFF"/>
        </w:rPr>
      </w:pPr>
      <w:r>
        <w:rPr>
          <w:rFonts w:hint="eastAsia" w:cs="宋体" w:asciiTheme="minorEastAsia" w:hAnsiTheme="minorEastAsia" w:eastAsiaTheme="minorEastAsia"/>
          <w:color w:val="auto"/>
          <w:sz w:val="24"/>
          <w:szCs w:val="24"/>
          <w:highlight w:val="yellow"/>
        </w:rPr>
        <w:t>本合同服务地点为：</w:t>
      </w:r>
      <w:r>
        <w:rPr>
          <w:rFonts w:cs="宋体" w:asciiTheme="minorEastAsia" w:hAnsiTheme="minorEastAsia" w:eastAsiaTheme="minorEastAsia"/>
          <w:color w:val="auto"/>
          <w:sz w:val="24"/>
          <w:szCs w:val="24"/>
          <w:shd w:val="clear" w:color="auto" w:fill="FFFFFF"/>
        </w:rPr>
        <w:t xml:space="preserve"> </w:t>
      </w:r>
    </w:p>
    <w:bookmarkEnd w:id="7"/>
    <w:p>
      <w:pPr>
        <w:spacing w:line="360" w:lineRule="auto"/>
        <w:ind w:firstLine="482" w:firstLineChars="200"/>
        <w:rPr>
          <w:rFonts w:cs="宋体" w:asciiTheme="minorEastAsia" w:hAnsiTheme="minorEastAsia" w:eastAsiaTheme="minorEastAsia"/>
          <w:b/>
          <w:color w:val="auto"/>
          <w:sz w:val="24"/>
          <w:highlight w:val="yellow"/>
        </w:rPr>
      </w:pPr>
      <w:bookmarkStart w:id="8" w:name="_Toc414743945"/>
      <w:r>
        <w:rPr>
          <w:rFonts w:hint="eastAsia" w:cs="宋体" w:asciiTheme="minorEastAsia" w:hAnsiTheme="minorEastAsia" w:eastAsiaTheme="minorEastAsia"/>
          <w:b/>
          <w:color w:val="auto"/>
          <w:sz w:val="24"/>
          <w:highlight w:val="yellow"/>
        </w:rPr>
        <w:t>六、服务质量标准</w:t>
      </w:r>
    </w:p>
    <w:p>
      <w:pPr>
        <w:spacing w:line="360" w:lineRule="auto"/>
        <w:ind w:firstLine="200"/>
        <w:rPr>
          <w:rFonts w:cs="宋体" w:asciiTheme="minorEastAsia" w:hAnsiTheme="minorEastAsia" w:eastAsiaTheme="minorEastAsia"/>
          <w:b/>
          <w:color w:val="auto"/>
          <w:sz w:val="24"/>
          <w:highlight w:val="yellow"/>
        </w:rPr>
      </w:pPr>
    </w:p>
    <w:p>
      <w:pPr>
        <w:spacing w:line="360" w:lineRule="auto"/>
        <w:ind w:firstLine="482" w:firstLineChars="200"/>
        <w:rPr>
          <w:rFonts w:cs="宋体" w:asciiTheme="minorEastAsia" w:hAnsiTheme="minorEastAsia" w:eastAsiaTheme="minorEastAsia"/>
          <w:b/>
          <w:color w:val="auto"/>
          <w:sz w:val="24"/>
          <w:highlight w:val="yellow"/>
        </w:rPr>
      </w:pPr>
      <w:r>
        <w:rPr>
          <w:rFonts w:hint="eastAsia" w:cs="宋体" w:asciiTheme="minorEastAsia" w:hAnsiTheme="minorEastAsia" w:eastAsiaTheme="minorEastAsia"/>
          <w:b/>
          <w:color w:val="auto"/>
          <w:sz w:val="24"/>
          <w:highlight w:val="yellow"/>
        </w:rPr>
        <w:t>七、验收办法</w:t>
      </w:r>
      <w:bookmarkEnd w:id="8"/>
    </w:p>
    <w:p>
      <w:pPr>
        <w:pStyle w:val="2"/>
        <w:spacing w:after="0" w:line="360" w:lineRule="auto"/>
        <w:ind w:firstLine="200"/>
        <w:rPr>
          <w:rFonts w:asciiTheme="minorEastAsia" w:hAnsiTheme="minorEastAsia" w:eastAsiaTheme="minorEastAsia"/>
          <w:color w:val="auto"/>
          <w:sz w:val="24"/>
        </w:rPr>
      </w:pPr>
    </w:p>
    <w:p>
      <w:pPr>
        <w:spacing w:line="360" w:lineRule="auto"/>
        <w:ind w:firstLine="482" w:firstLineChars="200"/>
        <w:rPr>
          <w:rFonts w:cs="宋体" w:asciiTheme="minorEastAsia" w:hAnsiTheme="minorEastAsia" w:eastAsiaTheme="minorEastAsia"/>
          <w:b/>
          <w:color w:val="auto"/>
          <w:sz w:val="24"/>
          <w:highlight w:val="yellow"/>
        </w:rPr>
      </w:pPr>
      <w:r>
        <w:rPr>
          <w:rFonts w:hint="eastAsia" w:cs="宋体" w:asciiTheme="minorEastAsia" w:hAnsiTheme="minorEastAsia" w:eastAsiaTheme="minorEastAsia"/>
          <w:b/>
          <w:color w:val="auto"/>
          <w:sz w:val="24"/>
          <w:highlight w:val="yellow"/>
        </w:rPr>
        <w:t>八、双方的权利和义务</w:t>
      </w:r>
    </w:p>
    <w:p>
      <w:pPr>
        <w:spacing w:line="360" w:lineRule="auto"/>
        <w:ind w:firstLine="480" w:firstLineChars="200"/>
        <w:rPr>
          <w:rFonts w:cs="宋体" w:asciiTheme="minorEastAsia" w:hAnsiTheme="minorEastAsia" w:eastAsiaTheme="minorEastAsia"/>
          <w:color w:val="auto"/>
          <w:sz w:val="24"/>
          <w:highlight w:val="yellow"/>
        </w:rPr>
      </w:pPr>
      <w:r>
        <w:rPr>
          <w:rFonts w:hint="eastAsia" w:cs="宋体" w:asciiTheme="minorEastAsia" w:hAnsiTheme="minorEastAsia" w:eastAsiaTheme="minorEastAsia"/>
          <w:color w:val="auto"/>
          <w:sz w:val="24"/>
          <w:highlight w:val="yellow"/>
        </w:rPr>
        <w:t>（一）甲方的权利和义务：</w:t>
      </w:r>
    </w:p>
    <w:p>
      <w:pPr>
        <w:pStyle w:val="2"/>
        <w:spacing w:after="0" w:line="360" w:lineRule="auto"/>
        <w:ind w:firstLine="200"/>
        <w:rPr>
          <w:rFonts w:asciiTheme="minorEastAsia" w:hAnsiTheme="minorEastAsia" w:eastAsiaTheme="minorEastAsia"/>
          <w:color w:val="auto"/>
          <w:sz w:val="24"/>
        </w:rPr>
      </w:pP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highlight w:val="yellow"/>
        </w:rPr>
        <w:t>（二）乙方的权利和义务：</w:t>
      </w:r>
    </w:p>
    <w:p>
      <w:pPr>
        <w:spacing w:line="360" w:lineRule="auto"/>
        <w:ind w:firstLine="482" w:firstLineChars="200"/>
        <w:rPr>
          <w:rFonts w:cs="宋体" w:asciiTheme="minorEastAsia" w:hAnsiTheme="minorEastAsia" w:eastAsiaTheme="minorEastAsia"/>
          <w:b/>
          <w:color w:val="auto"/>
          <w:sz w:val="24"/>
        </w:rPr>
      </w:pPr>
      <w:bookmarkStart w:id="9" w:name="_Toc414743946"/>
    </w:p>
    <w:p>
      <w:pPr>
        <w:spacing w:line="360" w:lineRule="auto"/>
        <w:ind w:firstLine="482" w:firstLineChars="200"/>
        <w:rPr>
          <w:rFonts w:cs="宋体" w:asciiTheme="minorEastAsia" w:hAnsiTheme="minorEastAsia" w:eastAsiaTheme="minorEastAsia"/>
          <w:b/>
          <w:color w:val="auto"/>
          <w:sz w:val="24"/>
        </w:rPr>
      </w:pP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3.若乙方认为甲方未能及时或按本合同的约定履行合同义务，或甲方存在其他任何影响乙方履行本合同的情形时，均需在情形发生之日起3日内以书面形式</w:t>
      </w:r>
      <w:bookmarkStart w:id="11" w:name="_GoBack"/>
      <w:bookmarkEnd w:id="11"/>
      <w:r>
        <w:rPr>
          <w:rFonts w:hint="eastAsia" w:cs="宋体" w:asciiTheme="minorEastAsia" w:hAnsiTheme="minorEastAsia" w:eastAsiaTheme="minorEastAsia"/>
          <w:color w:val="auto"/>
          <w:sz w:val="24"/>
        </w:rPr>
        <w:t>向甲方提出履行要求；逾期，乙方未提出该等要求，则视为甲方已经完全按照本合同的约定履行前述该等义务；此后，乙方不得再以此为由向甲方主张任何责任或作为乙方未能如约履行本合同的任何抗辩理由。</w:t>
      </w:r>
    </w:p>
    <w:p>
      <w:pPr>
        <w:spacing w:line="360" w:lineRule="auto"/>
        <w:ind w:firstLine="482"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九、付款方式</w:t>
      </w:r>
      <w:bookmarkEnd w:id="9"/>
    </w:p>
    <w:p>
      <w:pPr>
        <w:spacing w:line="360" w:lineRule="auto"/>
        <w:ind w:firstLine="480" w:firstLineChars="200"/>
        <w:rPr>
          <w:rFonts w:cs="宋体" w:asciiTheme="minorEastAsia" w:hAnsiTheme="minorEastAsia" w:eastAsiaTheme="minorEastAsia"/>
          <w:color w:val="auto"/>
          <w:sz w:val="24"/>
          <w:highlight w:val="yellow"/>
        </w:rPr>
      </w:pPr>
      <w:r>
        <w:rPr>
          <w:rFonts w:hint="eastAsia" w:cs="宋体" w:asciiTheme="minorEastAsia" w:hAnsiTheme="minorEastAsia" w:eastAsiaTheme="minorEastAsia"/>
          <w:color w:val="auto"/>
          <w:sz w:val="24"/>
          <w:highlight w:val="yellow"/>
        </w:rPr>
        <w:t>1.付款方式：国库集中支付</w:t>
      </w:r>
      <w:r>
        <w:rPr>
          <w:rFonts w:hint="eastAsia" w:cs="宋体" w:asciiTheme="minorEastAsia" w:hAnsiTheme="minorEastAsia" w:eastAsiaTheme="minorEastAsia"/>
          <w:color w:val="auto"/>
          <w:sz w:val="24"/>
          <w:highlight w:val="yellow"/>
          <w:u w:val="single"/>
        </w:rPr>
        <w:t>（   ）</w:t>
      </w:r>
      <w:r>
        <w:rPr>
          <w:rFonts w:hint="eastAsia" w:cs="宋体" w:asciiTheme="minorEastAsia" w:hAnsiTheme="minorEastAsia" w:eastAsiaTheme="minorEastAsia"/>
          <w:color w:val="auto"/>
          <w:sz w:val="24"/>
          <w:highlight w:val="yellow"/>
        </w:rPr>
        <w:t>，采购单位支付</w:t>
      </w:r>
      <w:r>
        <w:rPr>
          <w:rFonts w:hint="eastAsia" w:cs="宋体" w:asciiTheme="minorEastAsia" w:hAnsiTheme="minorEastAsia" w:eastAsiaTheme="minorEastAsia"/>
          <w:color w:val="auto"/>
          <w:sz w:val="24"/>
          <w:highlight w:val="yellow"/>
          <w:u w:val="single"/>
        </w:rPr>
        <w:t>（）</w:t>
      </w:r>
      <w:r>
        <w:rPr>
          <w:rFonts w:hint="eastAsia" w:cs="宋体" w:asciiTheme="minorEastAsia" w:hAnsiTheme="minorEastAsia" w:eastAsiaTheme="minorEastAsia"/>
          <w:color w:val="auto"/>
          <w:sz w:val="24"/>
          <w:highlight w:val="yellow"/>
        </w:rPr>
        <w:t>。</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highlight w:val="yellow"/>
        </w:rPr>
        <w:t>2.付款期限：</w:t>
      </w:r>
    </w:p>
    <w:p>
      <w:pPr>
        <w:spacing w:line="360" w:lineRule="auto"/>
        <w:ind w:firstLine="200"/>
        <w:rPr>
          <w:rFonts w:cs="宋体" w:asciiTheme="minorEastAsia" w:hAnsiTheme="minorEastAsia" w:eastAsiaTheme="minorEastAsia"/>
          <w:color w:val="auto"/>
          <w:sz w:val="24"/>
        </w:rPr>
      </w:pP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w:t>
      </w:r>
      <w:r>
        <w:rPr>
          <w:rFonts w:hint="eastAsia" w:asciiTheme="minorEastAsia" w:hAnsiTheme="minorEastAsia" w:eastAsiaTheme="minorEastAsia"/>
          <w:color w:val="auto"/>
          <w:sz w:val="24"/>
        </w:rPr>
        <w:t xml:space="preserve"> </w:t>
      </w:r>
      <w:r>
        <w:rPr>
          <w:rFonts w:hint="eastAsia" w:cs="宋体" w:asciiTheme="minorEastAsia" w:hAnsiTheme="minorEastAsia" w:eastAsiaTheme="minorEastAsia"/>
          <w:color w:val="auto"/>
          <w:sz w:val="24"/>
        </w:rPr>
        <w:t>付款前，乙方应向甲方开具等额增值税发票。否则，甲方有权迟延付款并不承担逾期付款违约责任，且乙方不得以此作为拒绝或迟延履行本合同项下各项义务的抗辩理由。</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甲方开户行名称、账号等开票信息</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单位名称：内蒙古大学</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纳税人识别号：1215000046002920XK</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地址、电话：呼和浩特市赛罕区大学西路235号0471-4994142</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开户行及账号：中国建设银行股份有限公司呼和浩特赛罕区支行15001706667050001905</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六位开票代码：5WD9RE</w:t>
      </w:r>
    </w:p>
    <w:p>
      <w:pPr>
        <w:spacing w:line="360" w:lineRule="auto"/>
        <w:ind w:firstLine="480" w:firstLineChars="200"/>
        <w:rPr>
          <w:rFonts w:cs="宋体" w:asciiTheme="minorEastAsia" w:hAnsiTheme="minorEastAsia" w:eastAsiaTheme="minorEastAsia"/>
          <w:color w:val="auto"/>
          <w:sz w:val="24"/>
          <w:highlight w:val="yellow"/>
        </w:rPr>
      </w:pPr>
      <w:r>
        <w:rPr>
          <w:rFonts w:hint="eastAsia" w:cs="宋体" w:asciiTheme="minorEastAsia" w:hAnsiTheme="minorEastAsia" w:eastAsiaTheme="minorEastAsia"/>
          <w:color w:val="auto"/>
          <w:sz w:val="24"/>
          <w:highlight w:val="yellow"/>
        </w:rPr>
        <w:t>4.乙方收取货款开户行名称、账号等信息:</w:t>
      </w:r>
    </w:p>
    <w:p>
      <w:pPr>
        <w:spacing w:line="360" w:lineRule="auto"/>
        <w:ind w:firstLine="480" w:firstLineChars="200"/>
        <w:rPr>
          <w:rFonts w:cs="宋体" w:asciiTheme="minorEastAsia" w:hAnsiTheme="minorEastAsia" w:eastAsiaTheme="minorEastAsia"/>
          <w:color w:val="auto"/>
          <w:sz w:val="24"/>
          <w:highlight w:val="yellow"/>
          <w:u w:val="single"/>
        </w:rPr>
      </w:pPr>
      <w:r>
        <w:rPr>
          <w:rFonts w:hint="eastAsia" w:cs="宋体" w:asciiTheme="minorEastAsia" w:hAnsiTheme="minorEastAsia" w:eastAsiaTheme="minorEastAsia"/>
          <w:color w:val="auto"/>
          <w:sz w:val="24"/>
          <w:highlight w:val="yellow"/>
        </w:rPr>
        <w:t>单位名称：</w:t>
      </w:r>
    </w:p>
    <w:p>
      <w:pPr>
        <w:spacing w:line="360" w:lineRule="auto"/>
        <w:ind w:firstLine="480" w:firstLineChars="200"/>
        <w:rPr>
          <w:rFonts w:cs="宋体" w:asciiTheme="minorEastAsia" w:hAnsiTheme="minorEastAsia" w:eastAsiaTheme="minorEastAsia"/>
          <w:color w:val="auto"/>
          <w:sz w:val="24"/>
          <w:highlight w:val="yellow"/>
        </w:rPr>
      </w:pPr>
      <w:r>
        <w:rPr>
          <w:rFonts w:hint="eastAsia" w:cs="宋体" w:asciiTheme="minorEastAsia" w:hAnsiTheme="minorEastAsia" w:eastAsiaTheme="minorEastAsia"/>
          <w:color w:val="auto"/>
          <w:sz w:val="24"/>
          <w:highlight w:val="yellow"/>
        </w:rPr>
        <w:t>开户行名称：</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highlight w:val="yellow"/>
        </w:rPr>
        <w:t>账号：</w:t>
      </w:r>
    </w:p>
    <w:p>
      <w:pPr>
        <w:spacing w:line="360" w:lineRule="auto"/>
        <w:ind w:firstLine="482" w:firstLineChars="200"/>
        <w:rPr>
          <w:rFonts w:cs="宋体" w:asciiTheme="minorEastAsia" w:hAnsiTheme="minorEastAsia" w:eastAsiaTheme="minorEastAsia"/>
          <w:b/>
          <w:color w:val="auto"/>
          <w:sz w:val="24"/>
        </w:rPr>
      </w:pPr>
      <w:bookmarkStart w:id="10" w:name="_Toc414743947"/>
      <w:r>
        <w:rPr>
          <w:rFonts w:hint="eastAsia" w:cs="宋体" w:asciiTheme="minorEastAsia" w:hAnsiTheme="minorEastAsia" w:eastAsiaTheme="minorEastAsia"/>
          <w:b/>
          <w:color w:val="auto"/>
          <w:sz w:val="24"/>
        </w:rPr>
        <w:t>十、履约保证金和质保金</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乙方需向甲方</w:t>
      </w:r>
      <w:r>
        <w:rPr>
          <w:rFonts w:hint="eastAsia" w:cs="宋体" w:asciiTheme="minorEastAsia" w:hAnsiTheme="minorEastAsia" w:eastAsiaTheme="minorEastAsia"/>
          <w:color w:val="auto"/>
          <w:sz w:val="24"/>
          <w:highlight w:val="yellow"/>
        </w:rPr>
        <w:t>交纳采购合同金额</w:t>
      </w:r>
      <w:r>
        <w:rPr>
          <w:rFonts w:hint="eastAsia" w:cs="宋体" w:asciiTheme="minorEastAsia" w:hAnsiTheme="minorEastAsia" w:eastAsiaTheme="minorEastAsia"/>
          <w:color w:val="auto"/>
          <w:sz w:val="24"/>
          <w:highlight w:val="yellow"/>
          <w:u w:val="single"/>
        </w:rPr>
        <w:t xml:space="preserve">      </w:t>
      </w:r>
      <w:r>
        <w:rPr>
          <w:rFonts w:hint="eastAsia" w:cs="宋体" w:asciiTheme="minorEastAsia" w:hAnsiTheme="minorEastAsia" w:eastAsiaTheme="minorEastAsia"/>
          <w:color w:val="auto"/>
          <w:sz w:val="24"/>
          <w:highlight w:val="yellow"/>
        </w:rPr>
        <w:t>%</w:t>
      </w:r>
      <w:r>
        <w:rPr>
          <w:rFonts w:hint="eastAsia" w:cs="宋体" w:asciiTheme="minorEastAsia" w:hAnsiTheme="minorEastAsia" w:eastAsiaTheme="minorEastAsia"/>
          <w:color w:val="auto"/>
          <w:sz w:val="24"/>
        </w:rPr>
        <w:t>的履约保证金</w:t>
      </w:r>
      <w:r>
        <w:rPr>
          <w:rFonts w:hint="eastAsia" w:cs="宋体" w:asciiTheme="minorEastAsia" w:hAnsiTheme="minorEastAsia" w:eastAsiaTheme="minorEastAsia"/>
          <w:b/>
          <w:bCs/>
          <w:color w:val="auto"/>
          <w:sz w:val="24"/>
          <w:highlight w:val="yellow"/>
          <w:u w:val="single"/>
        </w:rPr>
        <w:t>人民币              整(¥      元整）</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sz w:val="24"/>
          <w:highlight w:val="yellow"/>
        </w:rPr>
        <w:t>服务期满，验收合格且无违约的前提下，一次性无息退还。</w:t>
      </w:r>
    </w:p>
    <w:bookmarkEnd w:id="10"/>
    <w:p>
      <w:pPr>
        <w:spacing w:line="360" w:lineRule="auto"/>
        <w:ind w:firstLine="482"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十一、违约责任</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一）任何一方由于不可抗力原因不能履行合同时，在不可抗力事件结束后1日内向对方通报，以尽量减轻可能给对方造成的损失，在取得有关机构的不可抗力证明或双方谅解确认后，根据情况可部分或全部免于承担违约责任。</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（二）甲方应配合乙方的工作，若因甲方原因造成乙方未完成规定采购内容，甲方不得扣除乙方相应费用。</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（三）如因乙方自身原因，不履行合同义务或者履行合同义务不符合约定的，应当承担继续履行、采取补救措施或者由甲方扣除相应合同价款作为对甲方造成损失的赔偿。</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（四）如乙方未按照本合同的约定期限完成服务的，则每迟延1日，应向甲方支付合同总价款1％的违约金；迟延超过10日的，甲方有权单方解除本合同。</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（五）如乙方提供的服务质量不合格或无法通过甲方验收的，乙方负责整改，经过一次整改，仍无法达到要求的，甲方有权自行或委托第三方实施，由此产生的费用由乙方承担，同时，甲方有权选择解除本合同。</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（六）乙方未经甲方书面同意将本合同的全部或部分服务转让给第三方，或者将合同权利、对甲方享有的债权转让给第三方的，该等转让对甲方无效，且甲方有权单方解除本合同。</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（七）如乙方不履行质保义务，甲方有权</w:t>
      </w:r>
      <w:r>
        <w:rPr>
          <w:rFonts w:hint="eastAsia" w:cs="宋体" w:asciiTheme="minorEastAsia" w:hAnsiTheme="minorEastAsia" w:eastAsiaTheme="minorEastAsia"/>
          <w:color w:val="auto"/>
          <w:sz w:val="24"/>
          <w:lang w:eastAsia="zh-CN"/>
        </w:rPr>
        <w:t>解除合同，并要求乙方</w:t>
      </w:r>
      <w:r>
        <w:rPr>
          <w:rFonts w:hint="eastAsia" w:cs="宋体" w:asciiTheme="minorEastAsia" w:hAnsiTheme="minorEastAsia" w:eastAsiaTheme="minorEastAsia"/>
          <w:color w:val="auto"/>
          <w:sz w:val="24"/>
        </w:rPr>
        <w:t>承担本合同总金额20%的违约金。</w:t>
      </w:r>
    </w:p>
    <w:p>
      <w:pPr>
        <w:spacing w:line="360" w:lineRule="auto"/>
        <w:ind w:firstLine="480" w:firstLineChars="200"/>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（八）因乙方存在其他违约行为或因乙方原因导致合同目的无法实现或合同无法继续履行的，甲方有权解除合同。</w:t>
      </w:r>
    </w:p>
    <w:p>
      <w:pPr>
        <w:spacing w:line="360" w:lineRule="auto"/>
        <w:ind w:firstLine="480" w:firstLineChars="200"/>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九）乙方违反本合同的约定，除按本合同的约定承担违约责任外，还应赔偿甲方包括但不限于直接损失、甲方向第三方的违约或赔偿损失、误工费、鉴定费、损失的评估费、律师费、诉讼费或仲裁费、保全费、保险费、公告费、执行费等全部损失。</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（十）本合同所涉及全部违约金，甲方均有权从未付合同价款中扣除，乙方对此无异议。</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（十一）其它违约责任按《中华人民共和国民法典》处理。</w:t>
      </w:r>
    </w:p>
    <w:p>
      <w:pPr>
        <w:spacing w:line="360" w:lineRule="auto"/>
        <w:ind w:firstLine="482" w:firstLineChars="200"/>
        <w:rPr>
          <w:rFonts w:hint="eastAsia"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十二、合同解除</w:t>
      </w:r>
    </w:p>
    <w:p>
      <w:pPr>
        <w:spacing w:line="360" w:lineRule="auto"/>
        <w:ind w:firstLine="480" w:firstLineChars="200"/>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一）甲方依据本合同约定或法律规定单方解除合同的，自解除合同的通知到达乙方时，合同自行终止。乙方应于合同解除之日起15日内退还甲方全部已支付款项并按一年期贷款市场报价利率四倍计取的资金占用期间的利息，赔偿甲方因此造成的损失，并支付甲方合同总价款30%的违约金。</w:t>
      </w:r>
    </w:p>
    <w:p>
      <w:pPr>
        <w:spacing w:line="360" w:lineRule="auto"/>
        <w:ind w:firstLine="480" w:firstLineChars="200"/>
        <w:rPr>
          <w:rFonts w:cs="宋体" w:asciiTheme="minorEastAsia" w:hAnsiTheme="minorEastAsia" w:eastAsiaTheme="minorEastAsia"/>
          <w:color w:val="auto"/>
          <w:sz w:val="24"/>
          <w:highlight w:val="yellow"/>
        </w:rPr>
      </w:pPr>
      <w:r>
        <w:rPr>
          <w:rFonts w:hint="eastAsia" w:cs="宋体" w:asciiTheme="minorEastAsia" w:hAnsiTheme="minorEastAsia" w:eastAsiaTheme="minorEastAsia"/>
          <w:color w:val="auto"/>
          <w:sz w:val="24"/>
        </w:rPr>
        <w:t>（二）按合同约定或法律规定，解除合同的事由发生时，解除权人可以解除合同。享有解除权的一方应当自解除事由发生之日起三年内行使解除权，期限届满不行使的，解除权消灭。</w:t>
      </w:r>
    </w:p>
    <w:p>
      <w:pPr>
        <w:spacing w:line="360" w:lineRule="auto"/>
        <w:ind w:firstLine="482"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highlight w:val="yellow"/>
        </w:rPr>
        <w:t>十三、知识产权归属</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（一）乙方为履行本合同义务所产生的服务成果的知识产权归甲方所有。</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二）乙方承诺其提交的服务成果无任何权利争议或潜在权利争议，乙方承诺其服务成果无任何他项权利设定，也无著作权、商标权、专利权及其他知识产权方面的权利瑕疵或限制，否则由此产生的纠纷乙方负责处理并承担全部责任，若因此给甲方造成损失的，乙方应赔偿甲方的全部损失。</w:t>
      </w:r>
    </w:p>
    <w:p>
      <w:pPr>
        <w:spacing w:line="360" w:lineRule="auto"/>
        <w:ind w:firstLine="482"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十四、保密条款</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1、乙方对甲方提供的资料负有保密义务，未经甲方同意，不得向项目无关单位和个人提供有关资料。如发生以上情况，甲方有权索赔。</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2、甲方有义务保护乙方的知识产权，未经乙方同意，甲方对乙方交付的成果文件、资料不得向第三方转让或用于本合同以外的项目。如发生以上情况，乙方有权索赔。</w:t>
      </w:r>
    </w:p>
    <w:p>
      <w:pPr>
        <w:pStyle w:val="38"/>
        <w:wordWrap/>
        <w:spacing w:line="360" w:lineRule="auto"/>
        <w:ind w:firstLine="482"/>
        <w:rPr>
          <w:rFonts w:asciiTheme="minorEastAsia" w:hAnsiTheme="minorEastAsia" w:eastAsiaTheme="minorEastAsia"/>
          <w:b/>
          <w:color w:val="auto"/>
          <w:sz w:val="24"/>
          <w:szCs w:val="24"/>
        </w:rPr>
      </w:pPr>
      <w:r>
        <w:rPr>
          <w:rFonts w:hint="eastAsia" w:cs="宋体" w:asciiTheme="minorEastAsia" w:hAnsiTheme="minorEastAsia" w:eastAsiaTheme="minorEastAsia"/>
          <w:b/>
          <w:color w:val="auto"/>
          <w:sz w:val="24"/>
          <w:szCs w:val="24"/>
        </w:rPr>
        <w:t>十五、</w:t>
      </w:r>
      <w:r>
        <w:rPr>
          <w:rFonts w:hint="eastAsia" w:asciiTheme="minorEastAsia" w:hAnsiTheme="minorEastAsia" w:eastAsiaTheme="minorEastAsia"/>
          <w:b/>
          <w:color w:val="auto"/>
          <w:sz w:val="24"/>
          <w:szCs w:val="24"/>
        </w:rPr>
        <w:t>不可抗力</w:t>
      </w:r>
    </w:p>
    <w:p>
      <w:pPr>
        <w:pStyle w:val="38"/>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在本合同执行过程中，由于发生战争、洪水、台风、地震、新冠疫情等不可抗力事件，致使本合同的任何一方无法履行本合同规定的义务，遭受不可抗力的一方不承担违约责任。遭受不可抗力的一方应在不可抗力事件发生的48小时内将该不可抗力及其对履约之影响书面通知另一方当事人，并向本合同对方出具有关权威部门的证明。遭受不可抗力之一方或双方当事人须采取一切可能的措施减少或消除前述不可抗力对合同履行的影响，并在该不可抗力事件消除后10天向对方当事人提供该不可抗力及其对履约产生实质性影响的证明。</w:t>
      </w:r>
    </w:p>
    <w:p>
      <w:pPr>
        <w:pStyle w:val="38"/>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（二）双方确定，因发生不可抗力，致使本合同的履行成为不必要或不可能的，一方应当及时通知另一方解除合同。如果一方未及时通知对方或未采取必要措施，责任方须对扩大的损失承担赔偿责任。</w:t>
      </w:r>
    </w:p>
    <w:p>
      <w:pPr>
        <w:pStyle w:val="38"/>
        <w:wordWrap/>
        <w:spacing w:line="360" w:lineRule="auto"/>
        <w:ind w:firstLine="482"/>
        <w:rPr>
          <w:rFonts w:asciiTheme="minorEastAsia" w:hAnsiTheme="minorEastAsia" w:eastAsiaTheme="minorEastAsia"/>
          <w:b/>
          <w:color w:val="auto"/>
          <w:sz w:val="24"/>
          <w:szCs w:val="24"/>
        </w:rPr>
      </w:pPr>
      <w:r>
        <w:rPr>
          <w:rFonts w:hint="eastAsia" w:cs="宋体" w:asciiTheme="minorEastAsia" w:hAnsiTheme="minorEastAsia" w:eastAsiaTheme="minorEastAsia"/>
          <w:b/>
          <w:color w:val="auto"/>
          <w:sz w:val="24"/>
          <w:szCs w:val="24"/>
        </w:rPr>
        <w:t>十六、</w:t>
      </w:r>
      <w:r>
        <w:rPr>
          <w:rFonts w:hint="eastAsia" w:asciiTheme="minorEastAsia" w:hAnsiTheme="minorEastAsia" w:eastAsiaTheme="minorEastAsia"/>
          <w:b/>
          <w:color w:val="auto"/>
          <w:sz w:val="24"/>
          <w:szCs w:val="24"/>
        </w:rPr>
        <w:t>通知与送达</w:t>
      </w:r>
    </w:p>
    <w:p>
      <w:pPr>
        <w:pStyle w:val="38"/>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（一）乙方的通知与送达方式为：</w:t>
      </w:r>
    </w:p>
    <w:p>
      <w:pPr>
        <w:pStyle w:val="38"/>
        <w:wordWrap/>
        <w:spacing w:line="360" w:lineRule="auto"/>
        <w:ind w:firstLine="480"/>
        <w:rPr>
          <w:rFonts w:asciiTheme="minorEastAsia" w:hAnsiTheme="minorEastAsia" w:eastAsiaTheme="minorEastAsia"/>
          <w:color w:val="auto"/>
          <w:sz w:val="24"/>
          <w:szCs w:val="24"/>
          <w:highlight w:val="yellow"/>
        </w:rPr>
      </w:pPr>
      <w:r>
        <w:rPr>
          <w:rFonts w:hint="eastAsia" w:asciiTheme="minorEastAsia" w:hAnsiTheme="minorEastAsia" w:eastAsiaTheme="minorEastAsia"/>
          <w:color w:val="auto"/>
          <w:sz w:val="24"/>
          <w:szCs w:val="24"/>
          <w:highlight w:val="yellow"/>
        </w:rPr>
        <w:t>乙方：</w:t>
      </w:r>
    </w:p>
    <w:p>
      <w:pPr>
        <w:pStyle w:val="38"/>
        <w:wordWrap/>
        <w:spacing w:line="360" w:lineRule="auto"/>
        <w:ind w:firstLine="480"/>
        <w:rPr>
          <w:rFonts w:asciiTheme="minorEastAsia" w:hAnsiTheme="minorEastAsia" w:eastAsiaTheme="minorEastAsia"/>
          <w:color w:val="auto"/>
          <w:sz w:val="24"/>
          <w:szCs w:val="24"/>
          <w:highlight w:val="yellow"/>
        </w:rPr>
      </w:pPr>
      <w:r>
        <w:rPr>
          <w:rFonts w:hint="eastAsia" w:asciiTheme="minorEastAsia" w:hAnsiTheme="minorEastAsia" w:eastAsiaTheme="minorEastAsia"/>
          <w:color w:val="auto"/>
          <w:sz w:val="24"/>
          <w:szCs w:val="24"/>
          <w:highlight w:val="yellow"/>
        </w:rPr>
        <w:t>通讯地址：                      ；</w:t>
      </w:r>
    </w:p>
    <w:p>
      <w:pPr>
        <w:pStyle w:val="38"/>
        <w:wordWrap/>
        <w:spacing w:line="360" w:lineRule="auto"/>
        <w:ind w:firstLine="480"/>
        <w:rPr>
          <w:rFonts w:asciiTheme="minorEastAsia" w:hAnsiTheme="minorEastAsia" w:eastAsiaTheme="minorEastAsia"/>
          <w:color w:val="auto"/>
          <w:sz w:val="24"/>
          <w:szCs w:val="24"/>
          <w:highlight w:val="yellow"/>
        </w:rPr>
      </w:pPr>
      <w:r>
        <w:rPr>
          <w:rFonts w:hint="eastAsia" w:asciiTheme="minorEastAsia" w:hAnsiTheme="minorEastAsia" w:eastAsiaTheme="minorEastAsia"/>
          <w:color w:val="auto"/>
          <w:sz w:val="24"/>
          <w:szCs w:val="24"/>
          <w:highlight w:val="yellow"/>
        </w:rPr>
        <w:t>联系人：                        ；联系电话（手机）：</w:t>
      </w:r>
    </w:p>
    <w:p>
      <w:pPr>
        <w:pStyle w:val="38"/>
        <w:wordWrap/>
        <w:spacing w:line="360" w:lineRule="auto"/>
        <w:ind w:firstLine="480"/>
        <w:rPr>
          <w:rFonts w:asciiTheme="minorEastAsia" w:hAnsiTheme="minorEastAsia" w:eastAsiaTheme="minorEastAsia"/>
          <w:color w:val="auto"/>
          <w:sz w:val="24"/>
          <w:szCs w:val="24"/>
          <w:highlight w:val="yellow"/>
        </w:rPr>
      </w:pPr>
      <w:r>
        <w:rPr>
          <w:rFonts w:hint="eastAsia" w:asciiTheme="minorEastAsia" w:hAnsiTheme="minorEastAsia" w:eastAsiaTheme="minorEastAsia"/>
          <w:color w:val="auto"/>
          <w:sz w:val="24"/>
          <w:szCs w:val="24"/>
          <w:highlight w:val="yellow"/>
        </w:rPr>
        <w:t>E-mail：                       ；微信:</w:t>
      </w:r>
    </w:p>
    <w:p>
      <w:pPr>
        <w:pStyle w:val="38"/>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本合同涉及有关通知事项可按照本合同中约定的通知与送达方式，采用邮寄、直接送达、致电或发送短信、E-mail、微信等任一方式进行，邮寄到达（拒收、退回）当日、直接送达或致电以及短信息、E-mail、微信发送当时，即视为乙方接到该通知。</w:t>
      </w:r>
    </w:p>
    <w:p>
      <w:pPr>
        <w:pStyle w:val="38"/>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三）乙方必须保证本合同约定的联络方式真实有效，乙方前述联系方式不真实、不准确或未留联系方式，一切责任均由乙方承担。联系方式如有变更，必须5于变更后3日内书面通知甲方。否则，甲方按照本合同约定的通知与送达方式向其发出的任何通知均视为合法有效。乙方拒收、不在指定地址或联系不上导致通知被退回，均视为通知已经合法有效送达。</w:t>
      </w:r>
    </w:p>
    <w:p>
      <w:pPr>
        <w:pStyle w:val="38"/>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四）乙方同意，乙方在本通知与送达条款中预留的地址及电话、传真、电子邮箱等，均可作为送达诉讼（或仲裁）文书（包括但不限于起诉状、上诉状、申请书、传票、举证通知书、出庭通知书、各类裁定、判决等）的确认地址。即，只要人民法院（或仲裁委员会）将诉讼（或仲裁）文书发送至乙方预留的地址、传真、电子邮箱，即视为送达。因乙方自己提供或者确认的送达地址不准确、送达地址变更未及时告知甲方，乙方或者乙方指定的联系人拒绝签收，导致诉讼（或仲裁）文书未能被乙方实际接收的，文书退回之日视为送达之日。</w:t>
      </w:r>
    </w:p>
    <w:p>
      <w:pPr>
        <w:spacing w:line="360" w:lineRule="auto"/>
        <w:ind w:firstLine="482"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十七、争议解决方式</w:t>
      </w:r>
    </w:p>
    <w:p>
      <w:pPr>
        <w:pStyle w:val="39"/>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双方因本合同发生争议，由甲、乙方协商解决，协商不成的，应向甲方住所地有管辖权的人民法院诉讼解决。</w:t>
      </w:r>
    </w:p>
    <w:p>
      <w:pPr>
        <w:spacing w:line="360" w:lineRule="auto"/>
        <w:ind w:firstLine="482"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十八、合同生效及其它</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（一）本合同未尽事宜，可由双方约定后签订补充协议。合同补充协议与本合同具有同等法律效力。</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（二）本合同连同附件</w:t>
      </w:r>
      <w:r>
        <w:rPr>
          <w:rFonts w:hint="eastAsia" w:cs="宋体" w:asciiTheme="minorEastAsia" w:hAnsiTheme="minorEastAsia" w:eastAsiaTheme="minorEastAsia"/>
          <w:color w:val="auto"/>
          <w:sz w:val="24"/>
          <w:highlight w:val="yellow"/>
        </w:rPr>
        <w:t>共</w:t>
      </w:r>
      <w:r>
        <w:rPr>
          <w:rFonts w:hint="eastAsia" w:cs="宋体" w:asciiTheme="minorEastAsia" w:hAnsiTheme="minorEastAsia" w:eastAsiaTheme="minorEastAsia"/>
          <w:color w:val="auto"/>
          <w:sz w:val="24"/>
          <w:highlight w:val="yellow"/>
          <w:u w:val="single"/>
        </w:rPr>
        <w:t xml:space="preserve">     </w:t>
      </w:r>
      <w:r>
        <w:rPr>
          <w:rFonts w:hint="eastAsia" w:cs="宋体" w:asciiTheme="minorEastAsia" w:hAnsiTheme="minorEastAsia" w:eastAsiaTheme="minorEastAsia"/>
          <w:color w:val="auto"/>
          <w:sz w:val="24"/>
          <w:highlight w:val="yellow"/>
        </w:rPr>
        <w:t>页</w:t>
      </w:r>
      <w:r>
        <w:rPr>
          <w:rFonts w:hint="eastAsia" w:cs="宋体" w:asciiTheme="minorEastAsia" w:hAnsiTheme="minorEastAsia" w:eastAsiaTheme="minorEastAsia"/>
          <w:color w:val="auto"/>
          <w:sz w:val="24"/>
        </w:rPr>
        <w:t>，一式六份（甲方4份、乙方1份、代理机构1份），具有同等法律效力。</w:t>
      </w:r>
    </w:p>
    <w:p>
      <w:pPr>
        <w:pStyle w:val="40"/>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（三）本合同自甲、乙双方签订之日起生效。</w:t>
      </w:r>
    </w:p>
    <w:p>
      <w:pPr>
        <w:pStyle w:val="7"/>
        <w:rPr>
          <w:color w:val="auto"/>
        </w:rPr>
      </w:pP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rPr>
        <w:t>采购人：内蒙古大学（加盖公章）</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rPr>
        <w:t>采购单位法人代表（或授权人）（签字）：</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rPr>
        <w:t>项目负责人(签字)：</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rPr>
        <w:t>电话：0471-4994859</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rPr>
        <w:t>地址：内蒙古呼和浩特市赛罕区大学西路235号</w:t>
      </w:r>
    </w:p>
    <w:p>
      <w:pPr>
        <w:wordWrap w:val="0"/>
        <w:spacing w:line="460" w:lineRule="exact"/>
        <w:ind w:firstLine="560" w:firstLineChars="200"/>
        <w:jc w:val="right"/>
        <w:rPr>
          <w:rFonts w:ascii="宋体" w:hAnsi="宋体" w:cs="宋体"/>
          <w:color w:val="auto"/>
          <w:sz w:val="28"/>
          <w:szCs w:val="28"/>
        </w:rPr>
      </w:pPr>
      <w:r>
        <w:rPr>
          <w:rFonts w:hint="eastAsia" w:ascii="宋体" w:hAnsi="宋体" w:cs="宋体"/>
          <w:color w:val="auto"/>
          <w:sz w:val="28"/>
          <w:szCs w:val="28"/>
        </w:rPr>
        <w:t>2</w:t>
      </w:r>
      <w:r>
        <w:rPr>
          <w:rFonts w:ascii="宋体" w:hAnsi="宋体" w:cs="宋体"/>
          <w:color w:val="auto"/>
          <w:sz w:val="28"/>
          <w:szCs w:val="28"/>
        </w:rPr>
        <w:t>0</w:t>
      </w:r>
      <w:r>
        <w:rPr>
          <w:rFonts w:hint="eastAsia" w:ascii="宋体" w:hAnsi="宋体" w:cs="宋体"/>
          <w:color w:val="auto"/>
          <w:sz w:val="28"/>
          <w:szCs w:val="28"/>
        </w:rPr>
        <w:t xml:space="preserve">    年   月  日</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highlight w:val="yellow"/>
        </w:rPr>
        <w:t>供应商：      （加盖公章）</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rPr>
        <w:t>供应商法人代表（或授权人）（签字）：</w:t>
      </w:r>
    </w:p>
    <w:p>
      <w:pPr>
        <w:spacing w:line="460" w:lineRule="exact"/>
        <w:ind w:firstLine="560" w:firstLineChars="200"/>
        <w:rPr>
          <w:rFonts w:ascii="宋体" w:hAnsi="宋体" w:cs="宋体"/>
          <w:color w:val="auto"/>
          <w:sz w:val="28"/>
          <w:szCs w:val="28"/>
          <w:highlight w:val="yellow"/>
        </w:rPr>
      </w:pPr>
      <w:r>
        <w:rPr>
          <w:rFonts w:hint="eastAsia" w:ascii="宋体" w:hAnsi="宋体" w:cs="宋体"/>
          <w:color w:val="auto"/>
          <w:sz w:val="28"/>
          <w:szCs w:val="28"/>
          <w:highlight w:val="yellow"/>
        </w:rPr>
        <w:t xml:space="preserve">电话： </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highlight w:val="yellow"/>
        </w:rPr>
        <w:t>地址：</w:t>
      </w:r>
      <w:r>
        <w:rPr>
          <w:rFonts w:hint="eastAsia" w:ascii="宋体" w:hAnsi="宋体" w:cs="宋体"/>
          <w:color w:val="auto"/>
          <w:sz w:val="28"/>
          <w:szCs w:val="28"/>
        </w:rPr>
        <w:t xml:space="preserve">              </w:t>
      </w:r>
    </w:p>
    <w:p>
      <w:pPr>
        <w:widowControl/>
        <w:wordWrap w:val="0"/>
        <w:spacing w:line="460" w:lineRule="exact"/>
        <w:ind w:firstLine="560" w:firstLineChars="200"/>
        <w:jc w:val="right"/>
        <w:rPr>
          <w:rFonts w:ascii="宋体" w:hAnsi="宋体" w:cs="宋体"/>
          <w:color w:val="auto"/>
          <w:sz w:val="28"/>
          <w:szCs w:val="28"/>
        </w:rPr>
      </w:pPr>
      <w:r>
        <w:rPr>
          <w:rFonts w:hint="eastAsia" w:ascii="宋体" w:hAnsi="宋体" w:cs="宋体"/>
          <w:color w:val="auto"/>
          <w:sz w:val="28"/>
          <w:szCs w:val="28"/>
        </w:rPr>
        <w:t>20   年    月  日</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rPr>
        <w:t>附件一：中标供应商法定代表人证明书或其授权代理人的授权委托书（粘贴后加盖中标商骑缝章）。</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rPr>
        <w:t>附件二：中标（成交）通知书</w:t>
      </w:r>
    </w:p>
    <w:sectPr>
      <w:footerReference r:id="rId3" w:type="default"/>
      <w:pgSz w:w="11906" w:h="16838"/>
      <w:pgMar w:top="1417" w:right="1020"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dit="readOnly"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71"/>
    <w:rsid w:val="000045F7"/>
    <w:rsid w:val="000179ED"/>
    <w:rsid w:val="000309E0"/>
    <w:rsid w:val="0003639B"/>
    <w:rsid w:val="00045E7D"/>
    <w:rsid w:val="000F066F"/>
    <w:rsid w:val="000F6B59"/>
    <w:rsid w:val="00105005"/>
    <w:rsid w:val="00117C0F"/>
    <w:rsid w:val="00170CEC"/>
    <w:rsid w:val="00182F16"/>
    <w:rsid w:val="001F7047"/>
    <w:rsid w:val="002255F9"/>
    <w:rsid w:val="00230177"/>
    <w:rsid w:val="002543E0"/>
    <w:rsid w:val="00281BC3"/>
    <w:rsid w:val="00282077"/>
    <w:rsid w:val="00284806"/>
    <w:rsid w:val="00395872"/>
    <w:rsid w:val="003A44A3"/>
    <w:rsid w:val="003D5FA2"/>
    <w:rsid w:val="003E1353"/>
    <w:rsid w:val="003F6C47"/>
    <w:rsid w:val="00403445"/>
    <w:rsid w:val="004142C2"/>
    <w:rsid w:val="00492842"/>
    <w:rsid w:val="004B1CED"/>
    <w:rsid w:val="00551750"/>
    <w:rsid w:val="005B183D"/>
    <w:rsid w:val="005D0B63"/>
    <w:rsid w:val="005F2940"/>
    <w:rsid w:val="00611B80"/>
    <w:rsid w:val="006234C4"/>
    <w:rsid w:val="00632497"/>
    <w:rsid w:val="00637B68"/>
    <w:rsid w:val="0065520E"/>
    <w:rsid w:val="00661701"/>
    <w:rsid w:val="00687909"/>
    <w:rsid w:val="006A75DE"/>
    <w:rsid w:val="006C50D6"/>
    <w:rsid w:val="006C64CF"/>
    <w:rsid w:val="006D6007"/>
    <w:rsid w:val="006F409B"/>
    <w:rsid w:val="00704BEF"/>
    <w:rsid w:val="00745A31"/>
    <w:rsid w:val="0076233E"/>
    <w:rsid w:val="00773761"/>
    <w:rsid w:val="007803C7"/>
    <w:rsid w:val="00781F08"/>
    <w:rsid w:val="00793070"/>
    <w:rsid w:val="0079506E"/>
    <w:rsid w:val="007B4BA0"/>
    <w:rsid w:val="007D4F0D"/>
    <w:rsid w:val="00805138"/>
    <w:rsid w:val="00807811"/>
    <w:rsid w:val="008221A1"/>
    <w:rsid w:val="008371EA"/>
    <w:rsid w:val="00837958"/>
    <w:rsid w:val="008545B9"/>
    <w:rsid w:val="00862BD8"/>
    <w:rsid w:val="0088406E"/>
    <w:rsid w:val="008A1C41"/>
    <w:rsid w:val="008C78FF"/>
    <w:rsid w:val="008E2B1C"/>
    <w:rsid w:val="0093783F"/>
    <w:rsid w:val="009645A5"/>
    <w:rsid w:val="00973BB3"/>
    <w:rsid w:val="00991775"/>
    <w:rsid w:val="00A07242"/>
    <w:rsid w:val="00A15DAF"/>
    <w:rsid w:val="00A40E0C"/>
    <w:rsid w:val="00AF5647"/>
    <w:rsid w:val="00B21A55"/>
    <w:rsid w:val="00B84A20"/>
    <w:rsid w:val="00BA0E7D"/>
    <w:rsid w:val="00BA245F"/>
    <w:rsid w:val="00BB51CD"/>
    <w:rsid w:val="00C10432"/>
    <w:rsid w:val="00C772DC"/>
    <w:rsid w:val="00CD7705"/>
    <w:rsid w:val="00D36BFD"/>
    <w:rsid w:val="00D46F2F"/>
    <w:rsid w:val="00D52138"/>
    <w:rsid w:val="00D62352"/>
    <w:rsid w:val="00D70E3C"/>
    <w:rsid w:val="00DB5894"/>
    <w:rsid w:val="00E11AD6"/>
    <w:rsid w:val="00E13182"/>
    <w:rsid w:val="00E24C5F"/>
    <w:rsid w:val="00E45266"/>
    <w:rsid w:val="00E652BE"/>
    <w:rsid w:val="00F13311"/>
    <w:rsid w:val="00F5780B"/>
    <w:rsid w:val="00F65D71"/>
    <w:rsid w:val="00F67C71"/>
    <w:rsid w:val="00F75BD1"/>
    <w:rsid w:val="00F93103"/>
    <w:rsid w:val="020E059A"/>
    <w:rsid w:val="024B5040"/>
    <w:rsid w:val="025D71A6"/>
    <w:rsid w:val="02A929B0"/>
    <w:rsid w:val="0376596B"/>
    <w:rsid w:val="043F749D"/>
    <w:rsid w:val="045C50DE"/>
    <w:rsid w:val="054F5FD6"/>
    <w:rsid w:val="059957CD"/>
    <w:rsid w:val="05CE5C4F"/>
    <w:rsid w:val="06F527FE"/>
    <w:rsid w:val="071519C5"/>
    <w:rsid w:val="07204C09"/>
    <w:rsid w:val="0733616E"/>
    <w:rsid w:val="07C00C46"/>
    <w:rsid w:val="07E10D3B"/>
    <w:rsid w:val="08394BB0"/>
    <w:rsid w:val="083E19A2"/>
    <w:rsid w:val="091A7AA2"/>
    <w:rsid w:val="09D61393"/>
    <w:rsid w:val="0A9311F1"/>
    <w:rsid w:val="0D3018BF"/>
    <w:rsid w:val="0D7766EC"/>
    <w:rsid w:val="0D8D1F6D"/>
    <w:rsid w:val="0DA06FD6"/>
    <w:rsid w:val="0E12234E"/>
    <w:rsid w:val="0ED04675"/>
    <w:rsid w:val="0FD629BD"/>
    <w:rsid w:val="10005D5C"/>
    <w:rsid w:val="111B2F25"/>
    <w:rsid w:val="111D3B6E"/>
    <w:rsid w:val="122C6573"/>
    <w:rsid w:val="12576B6A"/>
    <w:rsid w:val="12D32B0B"/>
    <w:rsid w:val="13BE1C71"/>
    <w:rsid w:val="14504BE6"/>
    <w:rsid w:val="16330DAC"/>
    <w:rsid w:val="165217F0"/>
    <w:rsid w:val="1690296B"/>
    <w:rsid w:val="169A60F3"/>
    <w:rsid w:val="16CF1B6A"/>
    <w:rsid w:val="177E1ABF"/>
    <w:rsid w:val="1791564A"/>
    <w:rsid w:val="194105B9"/>
    <w:rsid w:val="19CE0BBE"/>
    <w:rsid w:val="1A453458"/>
    <w:rsid w:val="1A5F443F"/>
    <w:rsid w:val="1A767E5B"/>
    <w:rsid w:val="1BDF0FE1"/>
    <w:rsid w:val="1CB919A0"/>
    <w:rsid w:val="1CDC1055"/>
    <w:rsid w:val="1D59165A"/>
    <w:rsid w:val="1F2E6292"/>
    <w:rsid w:val="202B777A"/>
    <w:rsid w:val="21034195"/>
    <w:rsid w:val="22E42DAA"/>
    <w:rsid w:val="23251F25"/>
    <w:rsid w:val="23FB60EC"/>
    <w:rsid w:val="257E5309"/>
    <w:rsid w:val="262F4162"/>
    <w:rsid w:val="27920198"/>
    <w:rsid w:val="29A75293"/>
    <w:rsid w:val="29B13D46"/>
    <w:rsid w:val="2A8A7352"/>
    <w:rsid w:val="2B5A6F1F"/>
    <w:rsid w:val="2D5324CC"/>
    <w:rsid w:val="2E935510"/>
    <w:rsid w:val="2ED37721"/>
    <w:rsid w:val="2FC50D4F"/>
    <w:rsid w:val="309E7518"/>
    <w:rsid w:val="31F63152"/>
    <w:rsid w:val="32690130"/>
    <w:rsid w:val="33606B74"/>
    <w:rsid w:val="336257DC"/>
    <w:rsid w:val="33D74B4B"/>
    <w:rsid w:val="341411C9"/>
    <w:rsid w:val="342A77CD"/>
    <w:rsid w:val="343B1A89"/>
    <w:rsid w:val="357A63BE"/>
    <w:rsid w:val="361D2CDC"/>
    <w:rsid w:val="36744D48"/>
    <w:rsid w:val="3732068D"/>
    <w:rsid w:val="37DD7D4A"/>
    <w:rsid w:val="38AA3B82"/>
    <w:rsid w:val="38B73F7D"/>
    <w:rsid w:val="38ED2F18"/>
    <w:rsid w:val="399946BC"/>
    <w:rsid w:val="3ADD17E2"/>
    <w:rsid w:val="3B3F6409"/>
    <w:rsid w:val="3B5729CB"/>
    <w:rsid w:val="3BC84432"/>
    <w:rsid w:val="3C086CEB"/>
    <w:rsid w:val="3D3456FE"/>
    <w:rsid w:val="3D992B3F"/>
    <w:rsid w:val="3DBA01F5"/>
    <w:rsid w:val="3E1969F4"/>
    <w:rsid w:val="3E2D6A6A"/>
    <w:rsid w:val="3F0C0D89"/>
    <w:rsid w:val="3F0F6854"/>
    <w:rsid w:val="41152C7A"/>
    <w:rsid w:val="414708BF"/>
    <w:rsid w:val="41F96DD3"/>
    <w:rsid w:val="43AC6C45"/>
    <w:rsid w:val="43D87767"/>
    <w:rsid w:val="44C173D0"/>
    <w:rsid w:val="44CA0BC3"/>
    <w:rsid w:val="44E52A4D"/>
    <w:rsid w:val="45461B37"/>
    <w:rsid w:val="45D3009F"/>
    <w:rsid w:val="462F4DB4"/>
    <w:rsid w:val="46522A3D"/>
    <w:rsid w:val="46822075"/>
    <w:rsid w:val="46F24BFD"/>
    <w:rsid w:val="46FF3321"/>
    <w:rsid w:val="488A43F7"/>
    <w:rsid w:val="496E0437"/>
    <w:rsid w:val="49752EFB"/>
    <w:rsid w:val="499075BB"/>
    <w:rsid w:val="49EF2831"/>
    <w:rsid w:val="4A084DF7"/>
    <w:rsid w:val="4AA65F6B"/>
    <w:rsid w:val="4B065B73"/>
    <w:rsid w:val="4B7275F9"/>
    <w:rsid w:val="4C680512"/>
    <w:rsid w:val="4CDB3207"/>
    <w:rsid w:val="4D862ECF"/>
    <w:rsid w:val="4D9D24C0"/>
    <w:rsid w:val="4F730DBF"/>
    <w:rsid w:val="4FAC2768"/>
    <w:rsid w:val="4FB354E7"/>
    <w:rsid w:val="4FDC68BF"/>
    <w:rsid w:val="500C6457"/>
    <w:rsid w:val="50352CCD"/>
    <w:rsid w:val="51292ADA"/>
    <w:rsid w:val="528D4F5D"/>
    <w:rsid w:val="538809F0"/>
    <w:rsid w:val="53927EB5"/>
    <w:rsid w:val="551561ED"/>
    <w:rsid w:val="551813DE"/>
    <w:rsid w:val="582C40D5"/>
    <w:rsid w:val="5872422E"/>
    <w:rsid w:val="5A474D59"/>
    <w:rsid w:val="5ABD1D48"/>
    <w:rsid w:val="5AE44E9B"/>
    <w:rsid w:val="5BC65798"/>
    <w:rsid w:val="5BF14E22"/>
    <w:rsid w:val="5CB7760D"/>
    <w:rsid w:val="5D355DD3"/>
    <w:rsid w:val="5D773F87"/>
    <w:rsid w:val="5E26639E"/>
    <w:rsid w:val="5E512317"/>
    <w:rsid w:val="5E804179"/>
    <w:rsid w:val="5F3C769B"/>
    <w:rsid w:val="60352179"/>
    <w:rsid w:val="611E0EB9"/>
    <w:rsid w:val="613F534D"/>
    <w:rsid w:val="622229A4"/>
    <w:rsid w:val="637028A8"/>
    <w:rsid w:val="64991F41"/>
    <w:rsid w:val="64CB53BF"/>
    <w:rsid w:val="64CE7410"/>
    <w:rsid w:val="65020078"/>
    <w:rsid w:val="65DB2470"/>
    <w:rsid w:val="65F00276"/>
    <w:rsid w:val="67764727"/>
    <w:rsid w:val="67DD2154"/>
    <w:rsid w:val="69435D2A"/>
    <w:rsid w:val="69DB42C6"/>
    <w:rsid w:val="6B607840"/>
    <w:rsid w:val="6D39165B"/>
    <w:rsid w:val="6D7E7A9C"/>
    <w:rsid w:val="6E066998"/>
    <w:rsid w:val="6E4A133D"/>
    <w:rsid w:val="6EAF10A4"/>
    <w:rsid w:val="6EB754FF"/>
    <w:rsid w:val="6F8F7AAF"/>
    <w:rsid w:val="6F950DA2"/>
    <w:rsid w:val="70000F75"/>
    <w:rsid w:val="70AB24A4"/>
    <w:rsid w:val="7129675C"/>
    <w:rsid w:val="714930F0"/>
    <w:rsid w:val="717B40B0"/>
    <w:rsid w:val="72083126"/>
    <w:rsid w:val="72A037EB"/>
    <w:rsid w:val="72AB0DC8"/>
    <w:rsid w:val="731605DD"/>
    <w:rsid w:val="73A3584A"/>
    <w:rsid w:val="74535E9F"/>
    <w:rsid w:val="7463247A"/>
    <w:rsid w:val="746C59E9"/>
    <w:rsid w:val="74D43B01"/>
    <w:rsid w:val="751475CB"/>
    <w:rsid w:val="759462F2"/>
    <w:rsid w:val="767E3732"/>
    <w:rsid w:val="76E77DC2"/>
    <w:rsid w:val="773A5B37"/>
    <w:rsid w:val="77D94E36"/>
    <w:rsid w:val="77DA032D"/>
    <w:rsid w:val="782C3D3A"/>
    <w:rsid w:val="79972A49"/>
    <w:rsid w:val="799F6735"/>
    <w:rsid w:val="79C4105A"/>
    <w:rsid w:val="79D8748C"/>
    <w:rsid w:val="7B503EF5"/>
    <w:rsid w:val="7B635B21"/>
    <w:rsid w:val="7CFC50DA"/>
    <w:rsid w:val="7D882C74"/>
    <w:rsid w:val="7EB175A6"/>
    <w:rsid w:val="7FC03827"/>
    <w:rsid w:val="7FE87D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22"/>
    <w:unhideWhenUsed/>
    <w:qFormat/>
    <w:uiPriority w:val="0"/>
    <w:pPr>
      <w:keepNext/>
      <w:keepLines/>
      <w:spacing w:before="260" w:after="260" w:line="413" w:lineRule="auto"/>
      <w:outlineLvl w:val="2"/>
    </w:pPr>
    <w:rPr>
      <w:b/>
      <w:sz w:val="32"/>
    </w:rPr>
  </w:style>
  <w:style w:type="paragraph" w:styleId="5">
    <w:name w:val="heading 4"/>
    <w:basedOn w:val="1"/>
    <w:next w:val="1"/>
    <w:link w:val="23"/>
    <w:unhideWhenUsed/>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1"/>
    <w:link w:val="26"/>
    <w:semiHidden/>
    <w:unhideWhenUsed/>
    <w:qFormat/>
    <w:uiPriority w:val="0"/>
    <w:pPr>
      <w:keepNext/>
      <w:keepLines/>
      <w:spacing w:before="280" w:after="290" w:line="376" w:lineRule="auto"/>
      <w:outlineLvl w:val="4"/>
    </w:pPr>
    <w:rPr>
      <w:b/>
      <w:bCs/>
      <w:sz w:val="28"/>
      <w:szCs w:val="28"/>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7">
    <w:name w:val="Normal Indent"/>
    <w:basedOn w:val="1"/>
    <w:qFormat/>
    <w:uiPriority w:val="0"/>
    <w:pPr>
      <w:spacing w:before="60" w:after="60" w:line="440" w:lineRule="exact"/>
      <w:ind w:right="-8" w:rightChars="-4" w:firstLine="490" w:firstLineChars="204"/>
    </w:pPr>
    <w:rPr>
      <w:bCs/>
      <w:color w:val="000000"/>
      <w:sz w:val="24"/>
      <w:szCs w:val="20"/>
    </w:rPr>
  </w:style>
  <w:style w:type="paragraph" w:styleId="8">
    <w:name w:val="caption"/>
    <w:basedOn w:val="1"/>
    <w:next w:val="1"/>
    <w:unhideWhenUsed/>
    <w:qFormat/>
    <w:uiPriority w:val="0"/>
    <w:pPr>
      <w:tabs>
        <w:tab w:val="left" w:pos="0"/>
      </w:tabs>
      <w:jc w:val="center"/>
    </w:pPr>
    <w:rPr>
      <w:rFonts w:ascii="黑体" w:hAnsi="黑体" w:eastAsia="黑体" w:cstheme="majorBidi"/>
      <w:szCs w:val="20"/>
    </w:rPr>
  </w:style>
  <w:style w:type="paragraph" w:styleId="9">
    <w:name w:val="annotation text"/>
    <w:basedOn w:val="1"/>
    <w:link w:val="36"/>
    <w:qFormat/>
    <w:uiPriority w:val="0"/>
    <w:pPr>
      <w:jc w:val="left"/>
    </w:pPr>
  </w:style>
  <w:style w:type="paragraph" w:styleId="10">
    <w:name w:val="Plain Text"/>
    <w:basedOn w:val="1"/>
    <w:qFormat/>
    <w:uiPriority w:val="99"/>
    <w:rPr>
      <w:rFonts w:ascii="宋体" w:hAnsi="Courier New" w:cs="Courier New"/>
      <w:szCs w:val="21"/>
    </w:rPr>
  </w:style>
  <w:style w:type="paragraph" w:styleId="11">
    <w:name w:val="Balloon Text"/>
    <w:basedOn w:val="1"/>
    <w:link w:val="25"/>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annotation subject"/>
    <w:basedOn w:val="9"/>
    <w:next w:val="9"/>
    <w:link w:val="37"/>
    <w:qFormat/>
    <w:uiPriority w:val="0"/>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u w:val="single"/>
    </w:rPr>
  </w:style>
  <w:style w:type="character" w:styleId="19">
    <w:name w:val="annotation reference"/>
    <w:basedOn w:val="17"/>
    <w:qFormat/>
    <w:uiPriority w:val="0"/>
    <w:rPr>
      <w:sz w:val="21"/>
      <w:szCs w:val="21"/>
    </w:rPr>
  </w:style>
  <w:style w:type="paragraph" w:styleId="20">
    <w:name w:val="List Paragraph"/>
    <w:basedOn w:val="1"/>
    <w:qFormat/>
    <w:uiPriority w:val="0"/>
    <w:pPr>
      <w:ind w:firstLine="420" w:firstLineChars="200"/>
    </w:pPr>
  </w:style>
  <w:style w:type="character" w:customStyle="1" w:styleId="21">
    <w:name w:val="标题 2 字符"/>
    <w:basedOn w:val="17"/>
    <w:link w:val="3"/>
    <w:qFormat/>
    <w:uiPriority w:val="0"/>
    <w:rPr>
      <w:rFonts w:ascii="Arial" w:hAnsi="Arial" w:eastAsia="黑体"/>
      <w:b/>
      <w:kern w:val="2"/>
      <w:sz w:val="32"/>
      <w:szCs w:val="24"/>
    </w:rPr>
  </w:style>
  <w:style w:type="character" w:customStyle="1" w:styleId="22">
    <w:name w:val="标题 3 字符"/>
    <w:basedOn w:val="17"/>
    <w:link w:val="4"/>
    <w:qFormat/>
    <w:uiPriority w:val="0"/>
    <w:rPr>
      <w:b/>
      <w:kern w:val="2"/>
      <w:sz w:val="32"/>
      <w:szCs w:val="24"/>
    </w:rPr>
  </w:style>
  <w:style w:type="character" w:customStyle="1" w:styleId="23">
    <w:name w:val="标题 4 字符"/>
    <w:basedOn w:val="17"/>
    <w:link w:val="5"/>
    <w:qFormat/>
    <w:uiPriority w:val="0"/>
    <w:rPr>
      <w:rFonts w:ascii="Arial" w:hAnsi="Arial" w:eastAsia="黑体"/>
      <w:b/>
      <w:kern w:val="2"/>
      <w:sz w:val="28"/>
      <w:szCs w:val="24"/>
    </w:rPr>
  </w:style>
  <w:style w:type="paragraph" w:customStyle="1" w:styleId="24">
    <w:name w:val="para2"/>
    <w:basedOn w:val="1"/>
    <w:qFormat/>
    <w:uiPriority w:val="0"/>
    <w:pPr>
      <w:spacing w:after="60"/>
      <w:ind w:left="720"/>
    </w:pPr>
    <w:rPr>
      <w:color w:val="000000"/>
      <w:kern w:val="0"/>
      <w:szCs w:val="20"/>
      <w:lang w:eastAsia="en-US"/>
    </w:rPr>
  </w:style>
  <w:style w:type="character" w:customStyle="1" w:styleId="25">
    <w:name w:val="批注框文本 字符"/>
    <w:basedOn w:val="17"/>
    <w:link w:val="11"/>
    <w:qFormat/>
    <w:uiPriority w:val="0"/>
    <w:rPr>
      <w:kern w:val="2"/>
      <w:sz w:val="18"/>
      <w:szCs w:val="18"/>
    </w:rPr>
  </w:style>
  <w:style w:type="character" w:customStyle="1" w:styleId="26">
    <w:name w:val="标题 5 字符"/>
    <w:basedOn w:val="17"/>
    <w:link w:val="6"/>
    <w:semiHidden/>
    <w:qFormat/>
    <w:uiPriority w:val="0"/>
    <w:rPr>
      <w:b/>
      <w:bCs/>
      <w:kern w:val="2"/>
      <w:sz w:val="28"/>
      <w:szCs w:val="28"/>
    </w:rPr>
  </w:style>
  <w:style w:type="character" w:customStyle="1" w:styleId="27">
    <w:name w:val="标书正文 Char"/>
    <w:link w:val="28"/>
    <w:qFormat/>
    <w:locked/>
    <w:uiPriority w:val="0"/>
    <w:rPr>
      <w:rFonts w:ascii="宋体" w:hAnsi="宋体"/>
      <w:sz w:val="28"/>
      <w:szCs w:val="28"/>
    </w:rPr>
  </w:style>
  <w:style w:type="paragraph" w:customStyle="1" w:styleId="28">
    <w:name w:val="标书正文"/>
    <w:basedOn w:val="1"/>
    <w:link w:val="27"/>
    <w:qFormat/>
    <w:uiPriority w:val="0"/>
    <w:pPr>
      <w:spacing w:line="360" w:lineRule="exact"/>
      <w:ind w:firstLine="420"/>
    </w:pPr>
    <w:rPr>
      <w:rFonts w:ascii="宋体" w:hAnsi="宋体"/>
      <w:kern w:val="0"/>
      <w:sz w:val="28"/>
      <w:szCs w:val="28"/>
    </w:rPr>
  </w:style>
  <w:style w:type="character" w:customStyle="1" w:styleId="29">
    <w:name w:val="标书不空格正文 Char"/>
    <w:link w:val="30"/>
    <w:qFormat/>
    <w:locked/>
    <w:uiPriority w:val="0"/>
    <w:rPr>
      <w:rFonts w:ascii="宋体" w:hAnsi="宋体"/>
      <w:sz w:val="28"/>
      <w:szCs w:val="28"/>
    </w:rPr>
  </w:style>
  <w:style w:type="paragraph" w:customStyle="1" w:styleId="30">
    <w:name w:val="标书不空格正文"/>
    <w:basedOn w:val="28"/>
    <w:link w:val="29"/>
    <w:qFormat/>
    <w:uiPriority w:val="0"/>
    <w:pPr>
      <w:ind w:firstLine="0"/>
    </w:pPr>
  </w:style>
  <w:style w:type="character" w:customStyle="1" w:styleId="31">
    <w:name w:val="标书正文列表 Char"/>
    <w:link w:val="32"/>
    <w:qFormat/>
    <w:locked/>
    <w:uiPriority w:val="0"/>
    <w:rPr>
      <w:rFonts w:ascii="宋体" w:hAnsi="宋体"/>
      <w:sz w:val="28"/>
      <w:szCs w:val="28"/>
    </w:rPr>
  </w:style>
  <w:style w:type="paragraph" w:customStyle="1" w:styleId="32">
    <w:name w:val="标书正文列表"/>
    <w:basedOn w:val="28"/>
    <w:link w:val="31"/>
    <w:qFormat/>
    <w:uiPriority w:val="0"/>
    <w:pPr>
      <w:widowControl/>
      <w:spacing w:after="200"/>
      <w:ind w:left="840" w:hanging="420"/>
      <w:jc w:val="left"/>
    </w:pPr>
  </w:style>
  <w:style w:type="character" w:customStyle="1" w:styleId="33">
    <w:name w:val="标书表格正文 Char"/>
    <w:link w:val="34"/>
    <w:qFormat/>
    <w:locked/>
    <w:uiPriority w:val="0"/>
    <w:rPr>
      <w:rFonts w:ascii="宋体" w:hAnsi="宋体"/>
      <w:sz w:val="28"/>
      <w:szCs w:val="28"/>
    </w:rPr>
  </w:style>
  <w:style w:type="paragraph" w:customStyle="1" w:styleId="34">
    <w:name w:val="标书表格正文"/>
    <w:basedOn w:val="28"/>
    <w:link w:val="33"/>
    <w:qFormat/>
    <w:uiPriority w:val="0"/>
    <w:pPr>
      <w:widowControl/>
      <w:spacing w:after="200"/>
      <w:ind w:firstLine="0"/>
      <w:jc w:val="left"/>
    </w:pPr>
  </w:style>
  <w:style w:type="character" w:customStyle="1" w:styleId="35">
    <w:name w:val="15"/>
    <w:basedOn w:val="17"/>
    <w:qFormat/>
    <w:uiPriority w:val="0"/>
    <w:rPr>
      <w:rFonts w:hint="default" w:ascii="Calibri" w:hAnsi="Calibri"/>
      <w:color w:val="0000FF"/>
      <w:u w:val="single"/>
    </w:rPr>
  </w:style>
  <w:style w:type="character" w:customStyle="1" w:styleId="36">
    <w:name w:val="批注文字 字符"/>
    <w:basedOn w:val="17"/>
    <w:link w:val="9"/>
    <w:qFormat/>
    <w:uiPriority w:val="0"/>
    <w:rPr>
      <w:kern w:val="2"/>
      <w:sz w:val="21"/>
      <w:szCs w:val="24"/>
    </w:rPr>
  </w:style>
  <w:style w:type="character" w:customStyle="1" w:styleId="37">
    <w:name w:val="批注主题 字符"/>
    <w:basedOn w:val="36"/>
    <w:link w:val="14"/>
    <w:qFormat/>
    <w:uiPriority w:val="0"/>
    <w:rPr>
      <w:b/>
      <w:bCs/>
      <w:kern w:val="2"/>
      <w:sz w:val="21"/>
      <w:szCs w:val="24"/>
    </w:rPr>
  </w:style>
  <w:style w:type="paragraph" w:customStyle="1" w:styleId="38">
    <w:name w:val="一、（二级标题）"/>
    <w:qFormat/>
    <w:uiPriority w:val="0"/>
    <w:pPr>
      <w:widowControl w:val="0"/>
      <w:tabs>
        <w:tab w:val="left" w:pos="993"/>
        <w:tab w:val="left" w:pos="1276"/>
      </w:tabs>
      <w:wordWrap w:val="0"/>
      <w:ind w:firstLine="200" w:firstLineChars="200"/>
      <w:outlineLvl w:val="1"/>
    </w:pPr>
    <w:rPr>
      <w:rFonts w:ascii="Arial" w:hAnsi="Arial" w:eastAsia="黑体" w:cs="Times New Roman"/>
      <w:bCs/>
      <w:kern w:val="2"/>
      <w:sz w:val="28"/>
      <w:szCs w:val="32"/>
      <w:lang w:val="en-US" w:eastAsia="zh-CN" w:bidi="ar-SA"/>
    </w:rPr>
  </w:style>
  <w:style w:type="paragraph" w:customStyle="1" w:styleId="39">
    <w:name w:val="文本"/>
    <w:qFormat/>
    <w:uiPriority w:val="0"/>
    <w:pPr>
      <w:widowControl w:val="0"/>
      <w:wordWrap w:val="0"/>
      <w:spacing w:line="360" w:lineRule="auto"/>
      <w:ind w:firstLine="200" w:firstLineChars="200"/>
    </w:pPr>
    <w:rPr>
      <w:rFonts w:ascii="仿宋_GB2312" w:hAnsi="Times New Roman" w:eastAsia="仿宋_GB2312" w:cs="Times New Roman"/>
      <w:kern w:val="2"/>
      <w:sz w:val="28"/>
      <w:szCs w:val="24"/>
      <w:lang w:val="en-US" w:eastAsia="zh-CN" w:bidi="ar-SA"/>
    </w:rPr>
  </w:style>
  <w:style w:type="paragraph" w:customStyle="1" w:styleId="40">
    <w:name w:val="（一）正文标题"/>
    <w:basedOn w:val="4"/>
    <w:link w:val="41"/>
    <w:qFormat/>
    <w:uiPriority w:val="0"/>
    <w:pPr>
      <w:keepNext w:val="0"/>
      <w:keepLines w:val="0"/>
      <w:tabs>
        <w:tab w:val="left" w:pos="0"/>
        <w:tab w:val="left" w:pos="993"/>
        <w:tab w:val="left" w:pos="1134"/>
        <w:tab w:val="left" w:pos="1276"/>
        <w:tab w:val="left" w:pos="1418"/>
      </w:tabs>
      <w:wordWrap w:val="0"/>
      <w:spacing w:before="0" w:after="0" w:line="360" w:lineRule="auto"/>
      <w:ind w:firstLine="200" w:firstLineChars="200"/>
      <w:jc w:val="left"/>
    </w:pPr>
    <w:rPr>
      <w:rFonts w:ascii="仿宋_GB2312" w:hAnsi="仿宋_GB2312" w:eastAsia="楷体"/>
      <w:bCs/>
      <w:sz w:val="28"/>
      <w:szCs w:val="28"/>
    </w:rPr>
  </w:style>
  <w:style w:type="character" w:customStyle="1" w:styleId="41">
    <w:name w:val="（一）正文标题 Char"/>
    <w:basedOn w:val="17"/>
    <w:link w:val="40"/>
    <w:qFormat/>
    <w:uiPriority w:val="0"/>
    <w:rPr>
      <w:rFonts w:ascii="仿宋_GB2312" w:hAnsi="仿宋_GB2312" w:eastAsia="楷体"/>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A52891-7FE2-4346-95CE-25E5CE33FC2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699</Words>
  <Characters>3987</Characters>
  <Lines>33</Lines>
  <Paragraphs>9</Paragraphs>
  <TotalTime>87</TotalTime>
  <ScaleCrop>false</ScaleCrop>
  <LinksUpToDate>false</LinksUpToDate>
  <CharactersWithSpaces>4677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2021-08-12T02:43:00Z</dcterms:created>
  <dc:creator>LENOVO</dc:creator>
  <cp:lastModifiedBy>Administrator</cp:lastModifiedBy>
  <cp:lastPrinted>2022-06-23T01:09:00Z</cp:lastPrinted>
  <dcterms:modified xsi:type="dcterms:W3CDTF">2022-09-02T10:04:57Z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10B4E6C9DFF4491684237554E6858AF2</vt:lpwstr>
  </property>
</Properties>
</file>